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965728" w14:textId="10AD1588" w:rsidR="009D78BB" w:rsidRPr="009A5B10" w:rsidRDefault="009D78BB" w:rsidP="009D17C8">
      <w:pPr>
        <w:pStyle w:val="Default"/>
        <w:spacing w:line="276" w:lineRule="auto"/>
        <w:ind w:left="720" w:hanging="720"/>
        <w:jc w:val="both"/>
        <w:rPr>
          <w:b/>
          <w:sz w:val="28"/>
          <w:szCs w:val="22"/>
        </w:rPr>
      </w:pPr>
    </w:p>
    <w:p w14:paraId="189A8FC5" w14:textId="77777777" w:rsidR="009D78BB" w:rsidRPr="009A5B10" w:rsidRDefault="009D78BB" w:rsidP="009D78BB">
      <w:pPr>
        <w:widowControl w:val="0"/>
        <w:suppressAutoHyphens/>
        <w:spacing w:after="360" w:line="240" w:lineRule="auto"/>
        <w:jc w:val="center"/>
        <w:rPr>
          <w:rFonts w:ascii="Times New Roman" w:eastAsia="DejaVu Sans" w:hAnsi="Times New Roman" w:cs="Times New Roman"/>
          <w:kern w:val="1"/>
          <w:sz w:val="32"/>
          <w:szCs w:val="30"/>
          <w:lang w:eastAsia="ar-SA"/>
        </w:rPr>
      </w:pPr>
    </w:p>
    <w:p w14:paraId="7C8A4451" w14:textId="6DC42624" w:rsidR="009D78BB" w:rsidRPr="007C0ACA" w:rsidRDefault="009D78BB" w:rsidP="009D78BB">
      <w:pPr>
        <w:widowControl w:val="0"/>
        <w:suppressAutoHyphens/>
        <w:spacing w:after="360" w:line="240" w:lineRule="auto"/>
        <w:jc w:val="center"/>
        <w:rPr>
          <w:rFonts w:eastAsia="DejaVu Sans" w:cstheme="minorHAnsi"/>
          <w:kern w:val="1"/>
          <w:sz w:val="32"/>
          <w:szCs w:val="30"/>
          <w:lang w:eastAsia="ar-SA"/>
        </w:rPr>
      </w:pPr>
      <w:bookmarkStart w:id="0" w:name="_Hlk20847600"/>
      <w:r w:rsidRPr="007C0ACA">
        <w:rPr>
          <w:rFonts w:eastAsia="DejaVu Sans" w:cstheme="minorHAnsi"/>
          <w:kern w:val="1"/>
          <w:sz w:val="32"/>
          <w:szCs w:val="30"/>
          <w:lang w:eastAsia="ar-SA"/>
        </w:rPr>
        <w:t xml:space="preserve">Molecular </w:t>
      </w:r>
      <w:r w:rsidR="0092497C" w:rsidRPr="007C0ACA">
        <w:rPr>
          <w:rFonts w:eastAsia="DejaVu Sans" w:cstheme="minorHAnsi"/>
          <w:kern w:val="1"/>
          <w:sz w:val="32"/>
          <w:szCs w:val="30"/>
          <w:lang w:eastAsia="ar-SA"/>
        </w:rPr>
        <w:t>D</w:t>
      </w:r>
      <w:r w:rsidRPr="007C0ACA">
        <w:rPr>
          <w:rFonts w:eastAsia="DejaVu Sans" w:cstheme="minorHAnsi"/>
          <w:kern w:val="1"/>
          <w:sz w:val="32"/>
          <w:szCs w:val="30"/>
          <w:lang w:eastAsia="ar-SA"/>
        </w:rPr>
        <w:t xml:space="preserve">eterminants </w:t>
      </w:r>
      <w:r w:rsidR="001B71CB" w:rsidRPr="007C0ACA">
        <w:rPr>
          <w:rFonts w:eastAsia="DejaVu Sans" w:cstheme="minorHAnsi"/>
          <w:kern w:val="1"/>
          <w:sz w:val="32"/>
          <w:szCs w:val="30"/>
          <w:lang w:eastAsia="ar-SA"/>
        </w:rPr>
        <w:t>f</w:t>
      </w:r>
      <w:r w:rsidRPr="007C0ACA">
        <w:rPr>
          <w:rFonts w:eastAsia="DejaVu Sans" w:cstheme="minorHAnsi"/>
          <w:kern w:val="1"/>
          <w:sz w:val="32"/>
          <w:szCs w:val="30"/>
          <w:lang w:eastAsia="ar-SA"/>
        </w:rPr>
        <w:t xml:space="preserve">or </w:t>
      </w:r>
      <w:r w:rsidR="001B71CB" w:rsidRPr="007C0ACA">
        <w:rPr>
          <w:rFonts w:eastAsia="DejaVu Sans" w:cstheme="minorHAnsi"/>
          <w:kern w:val="1"/>
          <w:sz w:val="32"/>
          <w:szCs w:val="30"/>
          <w:lang w:eastAsia="ar-SA"/>
        </w:rPr>
        <w:t>t</w:t>
      </w:r>
      <w:r w:rsidRPr="007C0ACA">
        <w:rPr>
          <w:rFonts w:eastAsia="DejaVu Sans" w:cstheme="minorHAnsi"/>
          <w:kern w:val="1"/>
          <w:sz w:val="32"/>
          <w:szCs w:val="30"/>
          <w:lang w:eastAsia="ar-SA"/>
        </w:rPr>
        <w:t xml:space="preserve">he </w:t>
      </w:r>
      <w:r w:rsidR="0092497C" w:rsidRPr="007C0ACA">
        <w:rPr>
          <w:rFonts w:eastAsia="DejaVu Sans" w:cstheme="minorHAnsi"/>
          <w:kern w:val="1"/>
          <w:sz w:val="32"/>
          <w:szCs w:val="30"/>
          <w:lang w:eastAsia="ar-SA"/>
        </w:rPr>
        <w:t>A</w:t>
      </w:r>
      <w:r w:rsidRPr="007C0ACA">
        <w:rPr>
          <w:rFonts w:eastAsia="DejaVu Sans" w:cstheme="minorHAnsi"/>
          <w:kern w:val="1"/>
          <w:sz w:val="32"/>
          <w:szCs w:val="30"/>
          <w:lang w:eastAsia="ar-SA"/>
        </w:rPr>
        <w:t>ctivation/</w:t>
      </w:r>
      <w:r w:rsidR="0092497C" w:rsidRPr="007C0ACA">
        <w:rPr>
          <w:rFonts w:eastAsia="DejaVu Sans" w:cstheme="minorHAnsi"/>
          <w:kern w:val="1"/>
          <w:sz w:val="32"/>
          <w:szCs w:val="30"/>
          <w:lang w:eastAsia="ar-SA"/>
        </w:rPr>
        <w:t>I</w:t>
      </w:r>
      <w:r w:rsidRPr="007C0ACA">
        <w:rPr>
          <w:rFonts w:eastAsia="DejaVu Sans" w:cstheme="minorHAnsi"/>
          <w:kern w:val="1"/>
          <w:sz w:val="32"/>
          <w:szCs w:val="30"/>
          <w:lang w:eastAsia="ar-SA"/>
        </w:rPr>
        <w:t xml:space="preserve">nhibition </w:t>
      </w:r>
      <w:r w:rsidR="001B71CB" w:rsidRPr="007C0ACA">
        <w:rPr>
          <w:rFonts w:eastAsia="DejaVu Sans" w:cstheme="minorHAnsi"/>
          <w:kern w:val="1"/>
          <w:sz w:val="32"/>
          <w:szCs w:val="30"/>
          <w:lang w:eastAsia="ar-SA"/>
        </w:rPr>
        <w:t>o</w:t>
      </w:r>
      <w:r w:rsidRPr="007C0ACA">
        <w:rPr>
          <w:rFonts w:eastAsia="DejaVu Sans" w:cstheme="minorHAnsi"/>
          <w:kern w:val="1"/>
          <w:sz w:val="32"/>
          <w:szCs w:val="30"/>
          <w:lang w:eastAsia="ar-SA"/>
        </w:rPr>
        <w:t xml:space="preserve">f Bak </w:t>
      </w:r>
      <w:r w:rsidR="0092497C" w:rsidRPr="007C0ACA">
        <w:rPr>
          <w:rFonts w:eastAsia="DejaVu Sans" w:cstheme="minorHAnsi"/>
          <w:kern w:val="1"/>
          <w:sz w:val="32"/>
          <w:szCs w:val="30"/>
          <w:lang w:eastAsia="ar-SA"/>
        </w:rPr>
        <w:t>P</w:t>
      </w:r>
      <w:r w:rsidRPr="007C0ACA">
        <w:rPr>
          <w:rFonts w:eastAsia="DejaVu Sans" w:cstheme="minorHAnsi"/>
          <w:kern w:val="1"/>
          <w:sz w:val="32"/>
          <w:szCs w:val="30"/>
          <w:lang w:eastAsia="ar-SA"/>
        </w:rPr>
        <w:t xml:space="preserve">rotein </w:t>
      </w:r>
      <w:r w:rsidR="001B71CB" w:rsidRPr="007C0ACA">
        <w:rPr>
          <w:rFonts w:eastAsia="DejaVu Sans" w:cstheme="minorHAnsi"/>
          <w:kern w:val="1"/>
          <w:sz w:val="32"/>
          <w:szCs w:val="30"/>
          <w:lang w:eastAsia="ar-SA"/>
        </w:rPr>
        <w:t>b</w:t>
      </w:r>
      <w:r w:rsidRPr="007C0ACA">
        <w:rPr>
          <w:rFonts w:eastAsia="DejaVu Sans" w:cstheme="minorHAnsi"/>
          <w:kern w:val="1"/>
          <w:sz w:val="32"/>
          <w:szCs w:val="30"/>
          <w:lang w:eastAsia="ar-SA"/>
        </w:rPr>
        <w:t xml:space="preserve">y BH3 </w:t>
      </w:r>
      <w:r w:rsidR="0092497C" w:rsidRPr="007C0ACA">
        <w:rPr>
          <w:rFonts w:eastAsia="DejaVu Sans" w:cstheme="minorHAnsi"/>
          <w:kern w:val="1"/>
          <w:sz w:val="32"/>
          <w:szCs w:val="30"/>
          <w:lang w:eastAsia="ar-SA"/>
        </w:rPr>
        <w:t>P</w:t>
      </w:r>
      <w:r w:rsidRPr="007C0ACA">
        <w:rPr>
          <w:rFonts w:eastAsia="DejaVu Sans" w:cstheme="minorHAnsi"/>
          <w:kern w:val="1"/>
          <w:sz w:val="32"/>
          <w:szCs w:val="30"/>
          <w:lang w:eastAsia="ar-SA"/>
        </w:rPr>
        <w:t xml:space="preserve">eptides </w:t>
      </w:r>
    </w:p>
    <w:bookmarkEnd w:id="0"/>
    <w:p w14:paraId="5F6BC9C4" w14:textId="62AD3E8E" w:rsidR="009D78BB" w:rsidRPr="007E5D8F" w:rsidRDefault="009D78BB" w:rsidP="009D78BB">
      <w:pPr>
        <w:widowControl w:val="0"/>
        <w:suppressAutoHyphens/>
        <w:spacing w:after="0" w:line="360" w:lineRule="auto"/>
        <w:jc w:val="center"/>
        <w:rPr>
          <w:rFonts w:eastAsia="DejaVu Sans" w:cstheme="minorHAnsi"/>
          <w:bCs/>
          <w:kern w:val="1"/>
          <w:lang w:val="es-ES" w:eastAsia="ar-SA"/>
        </w:rPr>
      </w:pPr>
      <w:r w:rsidRPr="007E5D8F">
        <w:rPr>
          <w:rFonts w:eastAsia="DejaVu Sans" w:cstheme="minorHAnsi"/>
          <w:bCs/>
          <w:kern w:val="1"/>
          <w:lang w:val="es-ES" w:eastAsia="ar-SA"/>
        </w:rPr>
        <w:t>Guillem Vila</w:t>
      </w:r>
      <w:r w:rsidR="001B71CB" w:rsidRPr="007E5D8F">
        <w:rPr>
          <w:rFonts w:eastAsia="DejaVu Sans" w:cstheme="minorHAnsi"/>
          <w:bCs/>
          <w:kern w:val="1"/>
          <w:lang w:val="es-ES" w:eastAsia="ar-SA"/>
        </w:rPr>
        <w:t>-Julià</w:t>
      </w:r>
      <w:r w:rsidR="002A7FC2" w:rsidRPr="007E5D8F">
        <w:rPr>
          <w:rFonts w:eastAsia="DejaVu Sans" w:cstheme="minorHAnsi"/>
          <w:bCs/>
          <w:kern w:val="1"/>
          <w:vertAlign w:val="superscript"/>
          <w:lang w:val="es-ES" w:eastAsia="ar-SA"/>
        </w:rPr>
        <w:t>a</w:t>
      </w:r>
      <w:r w:rsidR="003E7C73" w:rsidRPr="007E5D8F">
        <w:rPr>
          <w:rFonts w:eastAsia="DejaVu Sans" w:cstheme="minorHAnsi"/>
          <w:bCs/>
          <w:kern w:val="1"/>
          <w:vertAlign w:val="superscript"/>
          <w:lang w:val="es-ES" w:eastAsia="ar-SA"/>
        </w:rPr>
        <w:t>,</w:t>
      </w:r>
      <w:r w:rsidR="002A7FC2" w:rsidRPr="007E5D8F">
        <w:rPr>
          <w:rFonts w:eastAsia="DejaVu Sans" w:cstheme="minorHAnsi"/>
          <w:bCs/>
          <w:kern w:val="1"/>
          <w:vertAlign w:val="superscript"/>
          <w:lang w:val="es-ES" w:eastAsia="ar-SA"/>
        </w:rPr>
        <w:t>b</w:t>
      </w:r>
      <w:r w:rsidRPr="007E5D8F">
        <w:rPr>
          <w:rFonts w:eastAsia="DejaVu Sans" w:cstheme="minorHAnsi"/>
          <w:bCs/>
          <w:kern w:val="1"/>
          <w:lang w:val="es-ES" w:eastAsia="ar-SA"/>
        </w:rPr>
        <w:t xml:space="preserve">, </w:t>
      </w:r>
      <w:r w:rsidR="002B2391" w:rsidRPr="007E5D8F">
        <w:rPr>
          <w:rFonts w:eastAsia="DejaVu Sans" w:cstheme="minorHAnsi"/>
          <w:bCs/>
          <w:kern w:val="1"/>
          <w:lang w:val="es-ES" w:eastAsia="ar-SA"/>
        </w:rPr>
        <w:t>José M. Granadino-Roldán</w:t>
      </w:r>
      <w:r w:rsidR="002A7FC2" w:rsidRPr="007E5D8F">
        <w:rPr>
          <w:rFonts w:eastAsia="DejaVu Sans" w:cstheme="minorHAnsi"/>
          <w:bCs/>
          <w:kern w:val="1"/>
          <w:vertAlign w:val="superscript"/>
          <w:lang w:val="es-ES" w:eastAsia="ar-SA"/>
        </w:rPr>
        <w:t>c</w:t>
      </w:r>
      <w:r w:rsidR="002B2391" w:rsidRPr="007E5D8F">
        <w:rPr>
          <w:rFonts w:eastAsia="DejaVu Sans" w:cstheme="minorHAnsi"/>
          <w:bCs/>
          <w:kern w:val="1"/>
          <w:lang w:val="es-ES" w:eastAsia="ar-SA"/>
        </w:rPr>
        <w:t xml:space="preserve">, </w:t>
      </w:r>
      <w:r w:rsidR="003E7C73" w:rsidRPr="007E5D8F">
        <w:rPr>
          <w:rFonts w:eastAsia="DejaVu Sans" w:cstheme="minorHAnsi"/>
          <w:bCs/>
          <w:kern w:val="1"/>
          <w:lang w:val="es-ES" w:eastAsia="ar-SA"/>
        </w:rPr>
        <w:t>Juan J. Perez</w:t>
      </w:r>
      <w:r w:rsidR="002A7FC2" w:rsidRPr="007E5D8F">
        <w:rPr>
          <w:rFonts w:eastAsia="DejaVu Sans" w:cstheme="minorHAnsi"/>
          <w:bCs/>
          <w:kern w:val="1"/>
          <w:vertAlign w:val="superscript"/>
          <w:lang w:val="es-ES" w:eastAsia="ar-SA"/>
        </w:rPr>
        <w:t>b</w:t>
      </w:r>
      <w:r w:rsidR="003E7C73" w:rsidRPr="007E5D8F">
        <w:rPr>
          <w:rFonts w:eastAsia="DejaVu Sans" w:cstheme="minorHAnsi"/>
          <w:bCs/>
          <w:kern w:val="1"/>
          <w:lang w:val="es-ES" w:eastAsia="ar-SA"/>
        </w:rPr>
        <w:t xml:space="preserve">, </w:t>
      </w:r>
      <w:r w:rsidRPr="007E5D8F">
        <w:rPr>
          <w:rFonts w:eastAsia="DejaVu Sans" w:cstheme="minorHAnsi"/>
          <w:bCs/>
          <w:kern w:val="1"/>
          <w:lang w:val="es-ES" w:eastAsia="ar-SA"/>
        </w:rPr>
        <w:t>Jaime Rubio-Martinez</w:t>
      </w:r>
      <w:r w:rsidR="00E4004B" w:rsidRPr="007E5D8F">
        <w:rPr>
          <w:rFonts w:eastAsia="DejaVu Sans" w:cstheme="minorHAnsi"/>
          <w:bCs/>
          <w:kern w:val="1"/>
          <w:vertAlign w:val="superscript"/>
          <w:lang w:val="es-ES" w:eastAsia="ar-SA"/>
        </w:rPr>
        <w:t>*</w:t>
      </w:r>
      <w:r w:rsidR="002A7FC2" w:rsidRPr="007E5D8F">
        <w:rPr>
          <w:rFonts w:eastAsia="DejaVu Sans" w:cstheme="minorHAnsi"/>
          <w:bCs/>
          <w:kern w:val="1"/>
          <w:vertAlign w:val="superscript"/>
          <w:lang w:val="es-ES" w:eastAsia="ar-SA"/>
        </w:rPr>
        <w:t>a</w:t>
      </w:r>
    </w:p>
    <w:p w14:paraId="4528453C" w14:textId="77777777" w:rsidR="009D78BB" w:rsidRPr="007E5D8F" w:rsidRDefault="009D78BB" w:rsidP="009D78BB">
      <w:pPr>
        <w:widowControl w:val="0"/>
        <w:suppressAutoHyphens/>
        <w:spacing w:after="0" w:line="360" w:lineRule="auto"/>
        <w:jc w:val="both"/>
        <w:rPr>
          <w:rFonts w:ascii="Times New Roman" w:eastAsia="DejaVu Sans" w:hAnsi="Times New Roman" w:cs="Times New Roman"/>
          <w:bCs/>
          <w:kern w:val="1"/>
          <w:lang w:val="es-ES" w:eastAsia="ar-SA"/>
        </w:rPr>
      </w:pPr>
    </w:p>
    <w:p w14:paraId="34F4F141" w14:textId="77777777" w:rsidR="009D78BB" w:rsidRPr="007E5D8F" w:rsidRDefault="009D78BB" w:rsidP="009D78BB">
      <w:pPr>
        <w:widowControl w:val="0"/>
        <w:suppressAutoHyphens/>
        <w:spacing w:after="0" w:line="360" w:lineRule="auto"/>
        <w:jc w:val="both"/>
        <w:rPr>
          <w:rFonts w:ascii="Times New Roman" w:eastAsia="DejaVu Sans" w:hAnsi="Times New Roman" w:cs="Times New Roman"/>
          <w:bCs/>
          <w:kern w:val="1"/>
          <w:lang w:val="es-ES" w:eastAsia="ar-SA"/>
        </w:rPr>
      </w:pPr>
      <w:r w:rsidRPr="007E5D8F">
        <w:rPr>
          <w:rFonts w:ascii="Times New Roman" w:eastAsia="DejaVu Sans" w:hAnsi="Times New Roman" w:cs="Times New Roman"/>
          <w:bCs/>
          <w:kern w:val="1"/>
          <w:lang w:val="es-ES" w:eastAsia="ar-SA"/>
        </w:rPr>
        <w:t xml:space="preserve"> </w:t>
      </w:r>
    </w:p>
    <w:p w14:paraId="33D81804" w14:textId="77777777" w:rsidR="009D78BB" w:rsidRPr="007E5D8F" w:rsidRDefault="009D78BB" w:rsidP="009D78BB">
      <w:pPr>
        <w:widowControl w:val="0"/>
        <w:suppressAutoHyphens/>
        <w:spacing w:after="0" w:line="360" w:lineRule="auto"/>
        <w:jc w:val="both"/>
        <w:rPr>
          <w:rFonts w:ascii="Times New Roman" w:eastAsia="DejaVu Sans" w:hAnsi="Times New Roman" w:cs="Times New Roman"/>
          <w:bCs/>
          <w:kern w:val="1"/>
          <w:lang w:val="es-ES" w:eastAsia="ar-SA"/>
        </w:rPr>
      </w:pPr>
    </w:p>
    <w:p w14:paraId="041E1D49" w14:textId="77777777" w:rsidR="009D78BB" w:rsidRPr="007C0ACA" w:rsidRDefault="00E4004B" w:rsidP="009D78BB">
      <w:pPr>
        <w:widowControl w:val="0"/>
        <w:suppressAutoHyphens/>
        <w:spacing w:after="0" w:line="360" w:lineRule="auto"/>
        <w:jc w:val="both"/>
        <w:rPr>
          <w:rFonts w:eastAsia="DejaVu Sans" w:cstheme="minorHAnsi"/>
          <w:bCs/>
          <w:kern w:val="1"/>
          <w:lang w:eastAsia="ar-SA"/>
        </w:rPr>
      </w:pPr>
      <w:r w:rsidRPr="007C0ACA">
        <w:rPr>
          <w:rFonts w:eastAsia="DejaVu Sans" w:cstheme="minorHAnsi"/>
          <w:bCs/>
          <w:kern w:val="1"/>
          <w:vertAlign w:val="superscript"/>
          <w:lang w:eastAsia="ar-SA"/>
        </w:rPr>
        <w:t>a</w:t>
      </w:r>
      <w:r w:rsidR="003E7C73" w:rsidRPr="007C0ACA">
        <w:rPr>
          <w:rFonts w:eastAsia="DejaVu Sans" w:cstheme="minorHAnsi"/>
          <w:bCs/>
          <w:kern w:val="1"/>
          <w:vertAlign w:val="superscript"/>
          <w:lang w:eastAsia="ar-SA"/>
        </w:rPr>
        <w:t xml:space="preserve"> </w:t>
      </w:r>
      <w:r w:rsidR="009D78BB" w:rsidRPr="007C0ACA">
        <w:rPr>
          <w:rFonts w:eastAsia="DejaVu Sans" w:cstheme="minorHAnsi"/>
          <w:bCs/>
          <w:kern w:val="1"/>
          <w:lang w:eastAsia="ar-SA"/>
        </w:rPr>
        <w:t>Department of Materials Science and Physical Chemistry, University of Barcelona and the Institut de Recerca en Quimica Teorica i Computacional (IQTCUB), Barcelona, Spain</w:t>
      </w:r>
    </w:p>
    <w:p w14:paraId="1256261B" w14:textId="77777777" w:rsidR="003E7C73" w:rsidRPr="007E5D8F" w:rsidRDefault="00E4004B" w:rsidP="009D78BB">
      <w:pPr>
        <w:widowControl w:val="0"/>
        <w:suppressAutoHyphens/>
        <w:spacing w:after="0" w:line="360" w:lineRule="auto"/>
        <w:jc w:val="both"/>
        <w:rPr>
          <w:rFonts w:eastAsia="DejaVu Sans" w:cstheme="minorHAnsi"/>
          <w:bCs/>
          <w:kern w:val="1"/>
          <w:lang w:val="es-ES" w:eastAsia="ar-SA"/>
        </w:rPr>
      </w:pPr>
      <w:r w:rsidRPr="007C0ACA">
        <w:rPr>
          <w:rFonts w:eastAsia="DejaVu Sans" w:cstheme="minorHAnsi"/>
          <w:bCs/>
          <w:kern w:val="1"/>
          <w:vertAlign w:val="superscript"/>
          <w:lang w:eastAsia="ar-SA"/>
        </w:rPr>
        <w:t>b</w:t>
      </w:r>
      <w:r w:rsidR="003E7C73" w:rsidRPr="007C0ACA">
        <w:rPr>
          <w:rFonts w:eastAsia="DejaVu Sans" w:cstheme="minorHAnsi"/>
          <w:bCs/>
          <w:kern w:val="1"/>
          <w:lang w:eastAsia="ar-SA"/>
        </w:rPr>
        <w:t xml:space="preserve">Department of Chemical Engineering. Universitat Politecnica de Catalunya- Barcelona Tech. Av. Diagonal, 647. </w:t>
      </w:r>
      <w:r w:rsidR="003E7C73" w:rsidRPr="007E5D8F">
        <w:rPr>
          <w:rFonts w:eastAsia="DejaVu Sans" w:cstheme="minorHAnsi"/>
          <w:bCs/>
          <w:kern w:val="1"/>
          <w:lang w:val="es-ES" w:eastAsia="ar-SA"/>
        </w:rPr>
        <w:t>08028 Barcelona, Spain</w:t>
      </w:r>
    </w:p>
    <w:p w14:paraId="0E009036" w14:textId="77777777" w:rsidR="002B2391" w:rsidRPr="007E5D8F" w:rsidRDefault="00E4004B" w:rsidP="002B2391">
      <w:pPr>
        <w:widowControl w:val="0"/>
        <w:suppressAutoHyphens/>
        <w:spacing w:after="0" w:line="360" w:lineRule="auto"/>
        <w:jc w:val="both"/>
        <w:rPr>
          <w:rFonts w:eastAsia="DejaVu Sans" w:cstheme="minorHAnsi"/>
          <w:bCs/>
          <w:kern w:val="1"/>
          <w:lang w:val="es-ES" w:eastAsia="ar-SA"/>
        </w:rPr>
      </w:pPr>
      <w:r w:rsidRPr="007E5D8F">
        <w:rPr>
          <w:rFonts w:eastAsia="DejaVu Sans" w:cstheme="minorHAnsi"/>
          <w:bCs/>
          <w:kern w:val="1"/>
          <w:vertAlign w:val="superscript"/>
          <w:lang w:val="es-ES" w:eastAsia="ar-SA"/>
        </w:rPr>
        <w:t>c</w:t>
      </w:r>
      <w:r w:rsidR="002B2391" w:rsidRPr="007E5D8F">
        <w:rPr>
          <w:rFonts w:eastAsia="DejaVu Sans" w:cstheme="minorHAnsi"/>
          <w:bCs/>
          <w:kern w:val="1"/>
          <w:lang w:val="es-ES" w:eastAsia="ar-SA"/>
        </w:rPr>
        <w:t>Departamento de Química Física y Analítica, Facultad de Ciencias Experimentales,</w:t>
      </w:r>
    </w:p>
    <w:p w14:paraId="46A91626" w14:textId="77777777" w:rsidR="002B2391" w:rsidRPr="007E5D8F" w:rsidRDefault="002B2391" w:rsidP="002B2391">
      <w:pPr>
        <w:widowControl w:val="0"/>
        <w:suppressAutoHyphens/>
        <w:spacing w:after="0" w:line="360" w:lineRule="auto"/>
        <w:jc w:val="both"/>
        <w:rPr>
          <w:rFonts w:eastAsia="DejaVu Sans" w:cstheme="minorHAnsi"/>
          <w:bCs/>
          <w:kern w:val="1"/>
          <w:lang w:val="es-ES" w:eastAsia="ar-SA"/>
        </w:rPr>
      </w:pPr>
      <w:r w:rsidRPr="007E5D8F">
        <w:rPr>
          <w:rFonts w:eastAsia="DejaVu Sans" w:cstheme="minorHAnsi"/>
          <w:bCs/>
          <w:kern w:val="1"/>
          <w:lang w:val="es-ES" w:eastAsia="ar-SA"/>
        </w:rPr>
        <w:t>Universidad de Jaén, Campus “Las Lagunillas” s/n, 23071, Jaén, Spain</w:t>
      </w:r>
    </w:p>
    <w:p w14:paraId="5FC381ED" w14:textId="77777777" w:rsidR="003E7C73" w:rsidRPr="007E5D8F" w:rsidRDefault="003E7C73" w:rsidP="009D78BB">
      <w:pPr>
        <w:widowControl w:val="0"/>
        <w:suppressAutoHyphens/>
        <w:spacing w:after="0" w:line="360" w:lineRule="auto"/>
        <w:jc w:val="both"/>
        <w:rPr>
          <w:rFonts w:eastAsia="DejaVu Sans" w:cstheme="minorHAnsi"/>
          <w:bCs/>
          <w:kern w:val="1"/>
          <w:lang w:val="es-ES" w:eastAsia="ar-SA"/>
        </w:rPr>
      </w:pPr>
    </w:p>
    <w:p w14:paraId="6A5C3DEE" w14:textId="77777777" w:rsidR="003E7C73" w:rsidRPr="007E5D8F" w:rsidRDefault="003E7C73" w:rsidP="009D78BB">
      <w:pPr>
        <w:widowControl w:val="0"/>
        <w:suppressAutoHyphens/>
        <w:spacing w:after="0" w:line="360" w:lineRule="auto"/>
        <w:jc w:val="both"/>
        <w:rPr>
          <w:rFonts w:eastAsia="DejaVu Sans" w:cstheme="minorHAnsi"/>
          <w:bCs/>
          <w:kern w:val="1"/>
          <w:lang w:val="es-ES" w:eastAsia="ar-SA"/>
        </w:rPr>
      </w:pPr>
    </w:p>
    <w:p w14:paraId="6FC0D5AF" w14:textId="131C0161" w:rsidR="009D78BB" w:rsidRPr="007C0ACA" w:rsidRDefault="00370A1F" w:rsidP="009D78BB">
      <w:pPr>
        <w:widowControl w:val="0"/>
        <w:suppressAutoHyphens/>
        <w:spacing w:after="0" w:line="360" w:lineRule="auto"/>
        <w:jc w:val="both"/>
        <w:rPr>
          <w:rFonts w:eastAsia="DejaVu Sans" w:cstheme="minorHAnsi"/>
          <w:bCs/>
          <w:kern w:val="1"/>
          <w:lang w:eastAsia="ar-SA"/>
        </w:rPr>
      </w:pPr>
      <w:r w:rsidRPr="007C0ACA">
        <w:rPr>
          <w:rFonts w:eastAsia="DejaVu Sans" w:cstheme="minorHAnsi"/>
          <w:bCs/>
          <w:kern w:val="1"/>
          <w:vertAlign w:val="superscript"/>
          <w:lang w:eastAsia="ar-SA"/>
        </w:rPr>
        <w:t>*</w:t>
      </w:r>
      <w:r w:rsidR="009D78BB" w:rsidRPr="007C0ACA">
        <w:rPr>
          <w:rFonts w:eastAsia="DejaVu Sans" w:cstheme="minorHAnsi"/>
          <w:bCs/>
          <w:kern w:val="1"/>
          <w:lang w:eastAsia="ar-SA"/>
        </w:rPr>
        <w:t>Address correspondence to: Jaime Rubio-Martinez, Marti i Franques 1, E-08028 Barcelona, Spain. Phone: (+34) 93 4039263; Fax: (+34) 93 4021231; E-mail: jaime.rubio@ub.edu</w:t>
      </w:r>
    </w:p>
    <w:p w14:paraId="53D28EF0" w14:textId="77777777" w:rsidR="009D78BB" w:rsidRPr="007C0ACA" w:rsidRDefault="009D78BB" w:rsidP="009D78BB">
      <w:pPr>
        <w:widowControl w:val="0"/>
        <w:suppressAutoHyphens/>
        <w:spacing w:after="0" w:line="360" w:lineRule="auto"/>
        <w:jc w:val="both"/>
        <w:rPr>
          <w:rFonts w:eastAsia="DejaVu Sans" w:cstheme="minorHAnsi"/>
          <w:bCs/>
          <w:kern w:val="1"/>
          <w:lang w:eastAsia="ar-SA"/>
        </w:rPr>
      </w:pPr>
    </w:p>
    <w:p w14:paraId="4FC26A79" w14:textId="77777777" w:rsidR="009D78BB" w:rsidRPr="007C0ACA" w:rsidRDefault="009D78BB" w:rsidP="009D78BB">
      <w:pPr>
        <w:widowControl w:val="0"/>
        <w:suppressAutoHyphens/>
        <w:spacing w:after="0" w:line="360" w:lineRule="auto"/>
        <w:jc w:val="both"/>
        <w:rPr>
          <w:rFonts w:eastAsia="DejaVu Sans" w:cstheme="minorHAnsi"/>
          <w:bCs/>
          <w:kern w:val="1"/>
          <w:lang w:eastAsia="ar-SA"/>
        </w:rPr>
      </w:pPr>
    </w:p>
    <w:p w14:paraId="707B8343" w14:textId="1AF69F89" w:rsidR="009D78BB" w:rsidRPr="007C0ACA" w:rsidRDefault="009D78BB" w:rsidP="009D78BB">
      <w:pPr>
        <w:widowControl w:val="0"/>
        <w:suppressAutoHyphens/>
        <w:spacing w:after="0" w:line="360" w:lineRule="auto"/>
        <w:jc w:val="both"/>
        <w:rPr>
          <w:rFonts w:ascii="Times New Roman" w:eastAsia="DejaVu Sans" w:hAnsi="Times New Roman" w:cs="Times New Roman"/>
          <w:bCs/>
          <w:kern w:val="1"/>
          <w:lang w:eastAsia="ar-SA"/>
        </w:rPr>
      </w:pPr>
    </w:p>
    <w:p w14:paraId="02530F7C" w14:textId="4785AAD0"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6DF6D231" w14:textId="30EA9079"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31B53060" w14:textId="0F0D921E"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16AB4811" w14:textId="43F86C5F"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2C625B32" w14:textId="5451491B"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4D6E76A3" w14:textId="21CA1F49"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621F05B7" w14:textId="5B2B2149"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20A8C543" w14:textId="05A469B8"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0F786B2C" w14:textId="19B43AB9"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323D867A" w14:textId="7D5CC3CB"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6AD03BE7" w14:textId="5197022E"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293B82E4" w14:textId="6B19390C"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41AE617E" w14:textId="59DEFA69" w:rsidR="00370A1F" w:rsidRPr="007C0ACA" w:rsidRDefault="00370A1F" w:rsidP="009D78BB">
      <w:pPr>
        <w:widowControl w:val="0"/>
        <w:suppressAutoHyphens/>
        <w:spacing w:after="0" w:line="360" w:lineRule="auto"/>
        <w:jc w:val="both"/>
        <w:rPr>
          <w:rFonts w:ascii="Times New Roman" w:eastAsia="DejaVu Sans" w:hAnsi="Times New Roman" w:cs="Times New Roman"/>
          <w:bCs/>
          <w:kern w:val="1"/>
          <w:lang w:eastAsia="ar-SA"/>
        </w:rPr>
      </w:pPr>
    </w:p>
    <w:p w14:paraId="1671C172" w14:textId="22115C7A" w:rsidR="00730195" w:rsidRPr="007C0ACA" w:rsidRDefault="00370A1F" w:rsidP="00CA1980">
      <w:pPr>
        <w:pStyle w:val="Default"/>
        <w:spacing w:line="276" w:lineRule="auto"/>
        <w:jc w:val="both"/>
        <w:rPr>
          <w:b/>
          <w:sz w:val="28"/>
          <w:szCs w:val="22"/>
        </w:rPr>
      </w:pPr>
      <w:r w:rsidRPr="007C0ACA">
        <w:rPr>
          <w:b/>
          <w:sz w:val="28"/>
          <w:szCs w:val="22"/>
        </w:rPr>
        <w:lastRenderedPageBreak/>
        <w:t>A</w:t>
      </w:r>
      <w:r w:rsidR="00730195" w:rsidRPr="007C0ACA">
        <w:rPr>
          <w:b/>
          <w:sz w:val="28"/>
          <w:szCs w:val="22"/>
        </w:rPr>
        <w:t>bstract</w:t>
      </w:r>
    </w:p>
    <w:p w14:paraId="7BF0FCD0" w14:textId="77777777" w:rsidR="00730195" w:rsidRPr="007C0ACA" w:rsidRDefault="00730195" w:rsidP="00CA1980">
      <w:pPr>
        <w:pStyle w:val="Default"/>
        <w:spacing w:line="276" w:lineRule="auto"/>
        <w:jc w:val="both"/>
        <w:rPr>
          <w:b/>
          <w:sz w:val="28"/>
          <w:szCs w:val="22"/>
        </w:rPr>
      </w:pPr>
    </w:p>
    <w:p w14:paraId="5447E60A" w14:textId="2D4EB3B9" w:rsidR="00370A1F" w:rsidRPr="007C0ACA" w:rsidRDefault="00820B0B" w:rsidP="00C954DA">
      <w:pPr>
        <w:spacing w:line="276" w:lineRule="auto"/>
        <w:ind w:firstLine="720"/>
        <w:jc w:val="both"/>
      </w:pPr>
      <w:r w:rsidRPr="007C0ACA">
        <w:t xml:space="preserve">Apoptosis is a key </w:t>
      </w:r>
      <w:r w:rsidR="001E7E24" w:rsidRPr="007C0ACA">
        <w:t xml:space="preserve">cell death </w:t>
      </w:r>
      <w:r w:rsidR="00E9680C" w:rsidRPr="007C0ACA">
        <w:t xml:space="preserve">pathway in mammalian </w:t>
      </w:r>
      <w:r w:rsidRPr="007C0ACA">
        <w:t xml:space="preserve">cells. Understanding this process and its regulation has been a subject of study in the last </w:t>
      </w:r>
      <w:r w:rsidR="00E9680C" w:rsidRPr="007C0ACA">
        <w:t xml:space="preserve">three </w:t>
      </w:r>
      <w:r w:rsidRPr="007C0ACA">
        <w:t xml:space="preserve">decades. </w:t>
      </w:r>
      <w:r w:rsidR="00C54D39" w:rsidRPr="007C0ACA">
        <w:t>Members of the</w:t>
      </w:r>
      <w:r w:rsidR="004F4174" w:rsidRPr="007C0ACA">
        <w:t xml:space="preserve"> </w:t>
      </w:r>
      <w:r w:rsidRPr="007C0ACA">
        <w:t xml:space="preserve">Bcl-2 family of proteins </w:t>
      </w:r>
      <w:r w:rsidR="00C54D39" w:rsidRPr="007C0ACA">
        <w:t>are</w:t>
      </w:r>
      <w:r w:rsidRPr="007C0ACA">
        <w:t xml:space="preserve"> involved in the regulation of apoptosis through </w:t>
      </w:r>
      <w:r w:rsidR="00E9680C" w:rsidRPr="007C0ACA">
        <w:t>mitochondrial poration</w:t>
      </w:r>
      <w:r w:rsidR="007E3967" w:rsidRPr="007C0ACA">
        <w:t xml:space="preserve"> </w:t>
      </w:r>
      <w:r w:rsidR="00624AB8" w:rsidRPr="007C0ACA">
        <w:t xml:space="preserve">with </w:t>
      </w:r>
      <w:r w:rsidR="00E2229E" w:rsidRPr="007C0ACA">
        <w:t>the</w:t>
      </w:r>
      <w:r w:rsidR="00624AB8" w:rsidRPr="007C0ACA">
        <w:t xml:space="preserve"> subsequent </w:t>
      </w:r>
      <w:r w:rsidR="00E9680C" w:rsidRPr="007C0ACA">
        <w:t>initiat</w:t>
      </w:r>
      <w:r w:rsidR="00624AB8" w:rsidRPr="007C0ACA">
        <w:t>ion</w:t>
      </w:r>
      <w:r w:rsidR="00E9680C" w:rsidRPr="007C0ACA">
        <w:t xml:space="preserve"> </w:t>
      </w:r>
      <w:r w:rsidR="006B6E73" w:rsidRPr="007C0ACA">
        <w:t xml:space="preserve">of </w:t>
      </w:r>
      <w:r w:rsidR="00E9680C" w:rsidRPr="007C0ACA">
        <w:t>apoptosis</w:t>
      </w:r>
      <w:r w:rsidRPr="007C0ACA">
        <w:t xml:space="preserve">. Deregulation of pro-apoptotic proteins contributes to the progression of many tumour processes. Understanding how </w:t>
      </w:r>
      <w:r w:rsidR="00CF14BA" w:rsidRPr="007C0ACA">
        <w:t xml:space="preserve">these </w:t>
      </w:r>
      <w:r w:rsidR="00E9680C" w:rsidRPr="007C0ACA">
        <w:t>pore-forming Bcl-2</w:t>
      </w:r>
      <w:r w:rsidRPr="007C0ACA">
        <w:t xml:space="preserve"> proteins</w:t>
      </w:r>
      <w:r w:rsidR="004F4174" w:rsidRPr="007C0ACA">
        <w:t xml:space="preserve"> Bak and Bax</w:t>
      </w:r>
      <w:r w:rsidRPr="007C0ACA">
        <w:t xml:space="preserve"> are activated is key to find new anti-cancer treatments. </w:t>
      </w:r>
      <w:r w:rsidR="003323A5" w:rsidRPr="007C0ACA">
        <w:t>Since</w:t>
      </w:r>
      <w:r w:rsidRPr="007C0ACA">
        <w:t xml:space="preserve"> </w:t>
      </w:r>
      <w:r w:rsidR="000513F8" w:rsidRPr="007C0ACA">
        <w:t xml:space="preserve">no </w:t>
      </w:r>
      <w:r w:rsidRPr="007C0ACA">
        <w:t xml:space="preserve">drug capable of activating Bak has been </w:t>
      </w:r>
      <w:r w:rsidR="003323A5" w:rsidRPr="007C0ACA">
        <w:t>disclosed</w:t>
      </w:r>
      <w:r w:rsidR="00CF14BA" w:rsidRPr="007C0ACA">
        <w:t xml:space="preserve"> yet</w:t>
      </w:r>
      <w:r w:rsidRPr="007C0ACA">
        <w:t xml:space="preserve">, </w:t>
      </w:r>
      <w:r w:rsidR="00B6063D">
        <w:t>studying</w:t>
      </w:r>
      <w:r w:rsidRPr="007C0ACA">
        <w:t xml:space="preserve"> structural </w:t>
      </w:r>
      <w:r w:rsidR="003323A5" w:rsidRPr="007C0ACA">
        <w:t xml:space="preserve">features </w:t>
      </w:r>
      <w:r w:rsidRPr="007C0ACA">
        <w:t xml:space="preserve">of </w:t>
      </w:r>
      <w:r w:rsidR="003323A5" w:rsidRPr="007C0ACA">
        <w:t>BH3 peptides -</w:t>
      </w:r>
      <w:r w:rsidR="004F4174" w:rsidRPr="007C0ACA">
        <w:t xml:space="preserve">known Bak activators- </w:t>
      </w:r>
      <w:r w:rsidR="003323A5" w:rsidRPr="007C0ACA">
        <w:t xml:space="preserve">relevant for binding along with its </w:t>
      </w:r>
      <w:r w:rsidR="00F90620" w:rsidRPr="007C0ACA">
        <w:t xml:space="preserve">binding </w:t>
      </w:r>
      <w:r w:rsidR="003323A5" w:rsidRPr="007C0ACA">
        <w:t xml:space="preserve">energy </w:t>
      </w:r>
      <w:r w:rsidR="00C954DA" w:rsidRPr="007C0ACA">
        <w:t xml:space="preserve">decomposition </w:t>
      </w:r>
      <w:r w:rsidR="003323A5" w:rsidRPr="007C0ACA">
        <w:t>analysis</w:t>
      </w:r>
      <w:r w:rsidR="00FC4207" w:rsidRPr="007C0ACA">
        <w:t>,</w:t>
      </w:r>
      <w:r w:rsidR="003323A5" w:rsidRPr="007C0ACA">
        <w:t xml:space="preserve"> </w:t>
      </w:r>
      <w:r w:rsidR="00C954DA" w:rsidRPr="007C0ACA">
        <w:t>result</w:t>
      </w:r>
      <w:r w:rsidR="00CF14BA" w:rsidRPr="007C0ACA">
        <w:t>s</w:t>
      </w:r>
      <w:r w:rsidRPr="007C0ACA">
        <w:t xml:space="preserve"> essential </w:t>
      </w:r>
      <w:r w:rsidR="00C954DA" w:rsidRPr="007C0ACA">
        <w:t>for</w:t>
      </w:r>
      <w:r w:rsidR="003323A5" w:rsidRPr="007C0ACA">
        <w:t xml:space="preserve"> design</w:t>
      </w:r>
      <w:r w:rsidR="00C954DA" w:rsidRPr="007C0ACA">
        <w:t>ing</w:t>
      </w:r>
      <w:r w:rsidR="003323A5" w:rsidRPr="007C0ACA">
        <w:t xml:space="preserve"> </w:t>
      </w:r>
      <w:r w:rsidR="00C954DA" w:rsidRPr="007C0ACA">
        <w:t>novel</w:t>
      </w:r>
      <w:r w:rsidR="00F90620" w:rsidRPr="007C0ACA">
        <w:t xml:space="preserve"> small molecule </w:t>
      </w:r>
      <w:r w:rsidR="00C954DA" w:rsidRPr="007C0ACA">
        <w:t>mimic</w:t>
      </w:r>
      <w:r w:rsidR="00F90620" w:rsidRPr="007C0ACA">
        <w:t>s</w:t>
      </w:r>
      <w:r w:rsidRPr="007C0ACA">
        <w:t xml:space="preserve"> </w:t>
      </w:r>
      <w:r w:rsidR="00F90620" w:rsidRPr="007C0ACA">
        <w:t xml:space="preserve">of </w:t>
      </w:r>
      <w:r w:rsidR="007E3967" w:rsidRPr="007C0ACA">
        <w:t>BH3</w:t>
      </w:r>
      <w:r w:rsidRPr="007C0ACA">
        <w:t xml:space="preserve">. </w:t>
      </w:r>
      <w:r w:rsidR="00C954DA" w:rsidRPr="007C0ACA">
        <w:t>Interestingly</w:t>
      </w:r>
      <w:r w:rsidR="004F4174" w:rsidRPr="007C0ACA">
        <w:t>,</w:t>
      </w:r>
      <w:r w:rsidR="006552EF" w:rsidRPr="007C0ACA">
        <w:t xml:space="preserve"> </w:t>
      </w:r>
      <w:r w:rsidR="004F4174" w:rsidRPr="007C0ACA">
        <w:t xml:space="preserve">a BH3 Bim analogue inactivating Bak </w:t>
      </w:r>
      <w:r w:rsidRPr="007C0ACA">
        <w:t xml:space="preserve">has </w:t>
      </w:r>
      <w:r w:rsidR="00C954DA" w:rsidRPr="007C0ACA">
        <w:t xml:space="preserve">recently </w:t>
      </w:r>
      <w:r w:rsidRPr="007C0ACA">
        <w:t>been discovered. The</w:t>
      </w:r>
      <w:r w:rsidR="00CF14BA" w:rsidRPr="007C0ACA">
        <w:t>refore, the</w:t>
      </w:r>
      <w:r w:rsidRPr="007C0ACA">
        <w:t xml:space="preserve"> present work is aimed </w:t>
      </w:r>
      <w:r w:rsidR="004F4174" w:rsidRPr="007C0ACA">
        <w:t>at</w:t>
      </w:r>
      <w:r w:rsidRPr="007C0ACA">
        <w:t xml:space="preserve"> </w:t>
      </w:r>
      <w:r w:rsidR="00C954DA" w:rsidRPr="007C0ACA">
        <w:t>understanding</w:t>
      </w:r>
      <w:r w:rsidRPr="007C0ACA">
        <w:t xml:space="preserve"> </w:t>
      </w:r>
      <w:r w:rsidR="001D3A13">
        <w:t>how</w:t>
      </w:r>
      <w:r w:rsidRPr="007C0ACA">
        <w:t xml:space="preserve"> BH3 peptides activate </w:t>
      </w:r>
      <w:r w:rsidR="00630ADD" w:rsidRPr="007C0ACA">
        <w:t xml:space="preserve">or inactivate </w:t>
      </w:r>
      <w:r w:rsidRPr="007C0ACA">
        <w:t xml:space="preserve">Bak </w:t>
      </w:r>
      <w:r w:rsidR="00C778C3" w:rsidRPr="007C0ACA">
        <w:t xml:space="preserve">in order </w:t>
      </w:r>
      <w:r w:rsidR="00C954DA" w:rsidRPr="007C0ACA">
        <w:t>to</w:t>
      </w:r>
      <w:r w:rsidRPr="007C0ACA">
        <w:t xml:space="preserve"> </w:t>
      </w:r>
      <w:r w:rsidR="004F4174" w:rsidRPr="007C0ACA">
        <w:t>identify</w:t>
      </w:r>
      <w:r w:rsidRPr="007C0ACA">
        <w:t xml:space="preserve"> </w:t>
      </w:r>
      <w:r w:rsidR="0059355D" w:rsidRPr="007C0ACA">
        <w:t xml:space="preserve">differential </w:t>
      </w:r>
      <w:r w:rsidR="00C778C3" w:rsidRPr="007C0ACA">
        <w:t>features</w:t>
      </w:r>
      <w:r w:rsidR="00EB67A4" w:rsidRPr="007C0ACA">
        <w:t xml:space="preserve"> </w:t>
      </w:r>
      <w:r w:rsidR="00C954DA" w:rsidRPr="007C0ACA">
        <w:t>that can be used in drug design</w:t>
      </w:r>
      <w:r w:rsidRPr="007C0ACA">
        <w:t xml:space="preserve">. </w:t>
      </w:r>
      <w:r w:rsidR="00C954DA" w:rsidRPr="007C0ACA">
        <w:t>For this purpose,</w:t>
      </w:r>
      <w:r w:rsidRPr="007C0ACA">
        <w:t xml:space="preserve"> complexes </w:t>
      </w:r>
      <w:r w:rsidR="00C954DA" w:rsidRPr="007C0ACA">
        <w:t xml:space="preserve">of Bak </w:t>
      </w:r>
      <w:r w:rsidRPr="007C0ACA">
        <w:t>with activator</w:t>
      </w:r>
      <w:r w:rsidR="001D3A13">
        <w:t>s</w:t>
      </w:r>
      <w:r w:rsidRPr="007C0ACA">
        <w:t xml:space="preserve"> and inhibitor</w:t>
      </w:r>
      <w:r w:rsidR="001D3A13">
        <w:t>s</w:t>
      </w:r>
      <w:r w:rsidRPr="007C0ACA">
        <w:t xml:space="preserve"> ha</w:t>
      </w:r>
      <w:r w:rsidR="00C954DA" w:rsidRPr="007C0ACA">
        <w:t>ve</w:t>
      </w:r>
      <w:r w:rsidRPr="007C0ACA">
        <w:t xml:space="preserve"> been </w:t>
      </w:r>
      <w:r w:rsidR="00CB0298" w:rsidRPr="007C0ACA">
        <w:t xml:space="preserve">subjected to </w:t>
      </w:r>
      <w:r w:rsidR="00C778C3" w:rsidRPr="007C0ACA">
        <w:t xml:space="preserve">a </w:t>
      </w:r>
      <w:r w:rsidR="00CB0298" w:rsidRPr="007C0ACA">
        <w:t xml:space="preserve">molecular dynamics study. Structural differences were assessed by means of </w:t>
      </w:r>
      <w:r w:rsidRPr="007C0ACA">
        <w:t xml:space="preserve">the fluctuations of the </w:t>
      </w:r>
      <w:r w:rsidR="000513F8" w:rsidRPr="007C0ACA">
        <w:t xml:space="preserve">corresponding </w:t>
      </w:r>
      <w:r w:rsidRPr="007C0ACA">
        <w:t xml:space="preserve">Principal Components. Moreover, </w:t>
      </w:r>
      <w:r w:rsidR="00CB0298" w:rsidRPr="007C0ACA">
        <w:t xml:space="preserve">MMPB/GBSA approach was used </w:t>
      </w:r>
      <w:r w:rsidRPr="007C0ACA">
        <w:t xml:space="preserve">to </w:t>
      </w:r>
      <w:r w:rsidR="00CB0298" w:rsidRPr="007C0ACA">
        <w:t>compute</w:t>
      </w:r>
      <w:r w:rsidRPr="007C0ACA">
        <w:t xml:space="preserve"> the binding free energy of the </w:t>
      </w:r>
      <w:r w:rsidR="0059355D" w:rsidRPr="007C0ACA">
        <w:t>diverse</w:t>
      </w:r>
      <w:r w:rsidRPr="007C0ACA">
        <w:t xml:space="preserve"> complexes to </w:t>
      </w:r>
      <w:r w:rsidR="00CB0298" w:rsidRPr="007C0ACA">
        <w:t>identify</w:t>
      </w:r>
      <w:r w:rsidRPr="007C0ACA">
        <w:t xml:space="preserve"> </w:t>
      </w:r>
      <w:r w:rsidR="00CB0298" w:rsidRPr="007C0ACA">
        <w:t>th</w:t>
      </w:r>
      <w:r w:rsidR="00C778C3" w:rsidRPr="007C0ACA">
        <w:t>os</w:t>
      </w:r>
      <w:r w:rsidR="00CB0298" w:rsidRPr="007C0ACA">
        <w:t>e</w:t>
      </w:r>
      <w:r w:rsidRPr="007C0ACA">
        <w:t xml:space="preserve"> residues of the </w:t>
      </w:r>
      <w:r w:rsidR="00C778C3" w:rsidRPr="007C0ACA">
        <w:t xml:space="preserve">BH3 </w:t>
      </w:r>
      <w:r w:rsidRPr="007C0ACA">
        <w:t xml:space="preserve">peptide </w:t>
      </w:r>
      <w:r w:rsidR="00C778C3" w:rsidRPr="007C0ACA">
        <w:t>that exhibit</w:t>
      </w:r>
      <w:r w:rsidRPr="007C0ACA">
        <w:t xml:space="preserve"> the large</w:t>
      </w:r>
      <w:r w:rsidR="00C778C3" w:rsidRPr="007C0ACA">
        <w:t>r</w:t>
      </w:r>
      <w:r w:rsidRPr="007C0ACA">
        <w:t xml:space="preserve"> co</w:t>
      </w:r>
      <w:r w:rsidR="00CB0298" w:rsidRPr="007C0ACA">
        <w:t>ntribution</w:t>
      </w:r>
      <w:r w:rsidR="00C778C3" w:rsidRPr="007C0ACA">
        <w:t>s</w:t>
      </w:r>
      <w:r w:rsidR="00CB0298" w:rsidRPr="007C0ACA">
        <w:t xml:space="preserve"> to complex formation</w:t>
      </w:r>
      <w:r w:rsidRPr="007C0ACA">
        <w:t xml:space="preserve">. </w:t>
      </w:r>
      <w:r w:rsidR="001D3A13">
        <w:t>R</w:t>
      </w:r>
      <w:r w:rsidRPr="007C0ACA">
        <w:t xml:space="preserve">esults obtained in this work show differences </w:t>
      </w:r>
      <w:r w:rsidR="00C778C3" w:rsidRPr="007C0ACA">
        <w:t>between</w:t>
      </w:r>
      <w:r w:rsidRPr="007C0ACA">
        <w:t xml:space="preserve"> activator</w:t>
      </w:r>
      <w:r w:rsidR="00C778C3" w:rsidRPr="007C0ACA">
        <w:t>s</w:t>
      </w:r>
      <w:r w:rsidRPr="007C0ACA">
        <w:t xml:space="preserve"> and inhibitor</w:t>
      </w:r>
      <w:r w:rsidR="00C778C3" w:rsidRPr="007C0ACA">
        <w:t>s, both</w:t>
      </w:r>
      <w:r w:rsidRPr="007C0ACA">
        <w:t xml:space="preserve"> in structural and energetic terms, </w:t>
      </w:r>
      <w:r w:rsidR="000513F8" w:rsidRPr="007C0ACA">
        <w:t>which</w:t>
      </w:r>
      <w:r w:rsidRPr="007C0ACA">
        <w:t xml:space="preserve"> can be used in the design of new molecules that </w:t>
      </w:r>
      <w:r w:rsidR="00CB0298" w:rsidRPr="007C0ACA">
        <w:t>can</w:t>
      </w:r>
      <w:r w:rsidRPr="007C0ACA">
        <w:t xml:space="preserve"> activate or inactivate pro-apoptotic Bak. </w:t>
      </w:r>
    </w:p>
    <w:p w14:paraId="1563BE12" w14:textId="77777777" w:rsidR="00370A1F" w:rsidRPr="007C0ACA" w:rsidRDefault="00370A1F" w:rsidP="00370A1F">
      <w:pPr>
        <w:widowControl w:val="0"/>
        <w:suppressAutoHyphens/>
        <w:spacing w:after="0" w:line="360" w:lineRule="auto"/>
        <w:rPr>
          <w:rFonts w:eastAsia="DejaVu Sans" w:cstheme="minorHAnsi"/>
          <w:b/>
          <w:bCs/>
          <w:kern w:val="1"/>
          <w:szCs w:val="24"/>
          <w:lang w:eastAsia="ar-SA"/>
        </w:rPr>
      </w:pPr>
    </w:p>
    <w:p w14:paraId="6B59905C" w14:textId="77777777" w:rsidR="00370A1F" w:rsidRPr="007C0ACA" w:rsidRDefault="00370A1F" w:rsidP="00370A1F">
      <w:pPr>
        <w:widowControl w:val="0"/>
        <w:suppressAutoHyphens/>
        <w:spacing w:after="0" w:line="360" w:lineRule="auto"/>
        <w:rPr>
          <w:rFonts w:eastAsia="DejaVu Sans" w:cstheme="minorHAnsi"/>
          <w:b/>
          <w:bCs/>
          <w:kern w:val="1"/>
          <w:szCs w:val="24"/>
          <w:lang w:eastAsia="ar-SA"/>
        </w:rPr>
      </w:pPr>
    </w:p>
    <w:p w14:paraId="6F2BD5A3" w14:textId="2E7F7934" w:rsidR="00370A1F" w:rsidRPr="007C0ACA" w:rsidRDefault="00370A1F" w:rsidP="000136D0">
      <w:pPr>
        <w:widowControl w:val="0"/>
        <w:suppressAutoHyphens/>
        <w:spacing w:after="0" w:line="360" w:lineRule="auto"/>
        <w:jc w:val="both"/>
        <w:rPr>
          <w:rFonts w:eastAsia="DejaVu Sans" w:cstheme="minorHAnsi"/>
          <w:kern w:val="1"/>
          <w:szCs w:val="24"/>
          <w:lang w:eastAsia="ar-SA"/>
        </w:rPr>
      </w:pPr>
      <w:r w:rsidRPr="007C0ACA">
        <w:rPr>
          <w:rFonts w:eastAsia="DejaVu Sans" w:cstheme="minorHAnsi"/>
          <w:b/>
          <w:bCs/>
          <w:kern w:val="1"/>
          <w:szCs w:val="24"/>
          <w:lang w:eastAsia="ar-SA"/>
        </w:rPr>
        <w:t>Keywords</w:t>
      </w:r>
      <w:r w:rsidRPr="007C0ACA">
        <w:rPr>
          <w:rFonts w:eastAsia="DejaVu Sans" w:cstheme="minorHAnsi"/>
          <w:b/>
          <w:kern w:val="1"/>
          <w:szCs w:val="24"/>
          <w:lang w:eastAsia="ar-SA"/>
        </w:rPr>
        <w:t>:</w:t>
      </w:r>
      <w:r w:rsidRPr="007C0ACA">
        <w:rPr>
          <w:rFonts w:eastAsia="DejaVu Sans" w:cstheme="minorHAnsi"/>
          <w:kern w:val="1"/>
          <w:szCs w:val="24"/>
          <w:lang w:eastAsia="ar-SA"/>
        </w:rPr>
        <w:t xml:space="preserve"> Apoptosis; Bcl-2 family; Molecular dynamics; MM-PB/GBSA approach; protein-protein interaction; Drug design.</w:t>
      </w:r>
    </w:p>
    <w:p w14:paraId="0D8E0933" w14:textId="1D03A818" w:rsidR="00370A1F" w:rsidRPr="007C0ACA" w:rsidRDefault="00370A1F" w:rsidP="00630ADD">
      <w:pPr>
        <w:spacing w:line="276" w:lineRule="auto"/>
        <w:ind w:firstLine="720"/>
        <w:jc w:val="both"/>
      </w:pPr>
    </w:p>
    <w:p w14:paraId="30546DE5" w14:textId="77777777" w:rsidR="00370A1F" w:rsidRPr="007C0ACA" w:rsidRDefault="00370A1F" w:rsidP="00630ADD">
      <w:pPr>
        <w:spacing w:line="276" w:lineRule="auto"/>
        <w:ind w:firstLine="720"/>
        <w:jc w:val="both"/>
      </w:pPr>
    </w:p>
    <w:p w14:paraId="6EE63AEF" w14:textId="77777777" w:rsidR="00370A1F" w:rsidRPr="007C0ACA" w:rsidRDefault="00370A1F" w:rsidP="00630ADD">
      <w:pPr>
        <w:spacing w:line="276" w:lineRule="auto"/>
        <w:ind w:firstLine="720"/>
        <w:jc w:val="both"/>
      </w:pPr>
    </w:p>
    <w:p w14:paraId="3AE6EFCA" w14:textId="6550FC26" w:rsidR="00730195" w:rsidRPr="007C0ACA" w:rsidRDefault="00730195" w:rsidP="00630ADD">
      <w:pPr>
        <w:spacing w:line="276" w:lineRule="auto"/>
        <w:ind w:firstLine="720"/>
        <w:jc w:val="both"/>
        <w:rPr>
          <w:b/>
          <w:sz w:val="28"/>
        </w:rPr>
      </w:pPr>
      <w:r w:rsidRPr="007C0ACA">
        <w:rPr>
          <w:b/>
          <w:sz w:val="28"/>
        </w:rPr>
        <w:br w:type="page"/>
      </w:r>
    </w:p>
    <w:p w14:paraId="24680146" w14:textId="330EC5FC" w:rsidR="00DE1BE8" w:rsidRPr="007C0ACA" w:rsidRDefault="001C3ADD" w:rsidP="001C3ADD">
      <w:pPr>
        <w:spacing w:line="276" w:lineRule="auto"/>
        <w:jc w:val="both"/>
        <w:rPr>
          <w:b/>
          <w:sz w:val="28"/>
        </w:rPr>
      </w:pPr>
      <w:r w:rsidRPr="007C0ACA">
        <w:rPr>
          <w:b/>
          <w:sz w:val="28"/>
        </w:rPr>
        <w:lastRenderedPageBreak/>
        <w:t>Introduction</w:t>
      </w:r>
    </w:p>
    <w:p w14:paraId="5271E7CF" w14:textId="702F4D65" w:rsidR="00820B0B" w:rsidRPr="007C0ACA" w:rsidRDefault="00820B0B" w:rsidP="00B87EFB">
      <w:pPr>
        <w:ind w:firstLine="720"/>
        <w:jc w:val="both"/>
        <w:rPr>
          <w:szCs w:val="14"/>
        </w:rPr>
      </w:pPr>
      <w:r w:rsidRPr="007C0ACA">
        <w:t>Apoptosis is a form of programmed cell death indispensable for tissue homeostasis, embryonic development and immunity.</w:t>
      </w:r>
      <w:r w:rsidRPr="007C0ACA">
        <w:rPr>
          <w:vertAlign w:val="superscript"/>
        </w:rPr>
        <w:fldChar w:fldCharType="begin" w:fldLock="1"/>
      </w:r>
      <w:r w:rsidR="007A3EA2" w:rsidRPr="007C0ACA">
        <w:rPr>
          <w:vertAlign w:val="superscript"/>
        </w:rPr>
        <w:instrText>ADDIN CSL_CITATION {"citationItems":[{"id":"ITEM-1","itemData":{"DOI":"10.1038/nrm2312","ISSN":"14710072","abstract":"Apoptosis is characterized by a series of dramatic perturbations to the cellular architecture that contribute not only to cell death, but also prepare cells for removal by phagocytes and prevent unwanted immune responses. Much of what happens during the demolition phase of apoptosis is orchestrated by members of the caspase family of cysteine proteases. These proteases target several hundred proteins for restricted proteolysis in a controlled manner that minimizes damage and disruption to neighbouring cells and avoids the release of immunostimulatory molecules.","author":[{"dropping-particle":"","family":"Taylor","given":"Rebecca C.","non-dropping-particle":"","parse-names":false,"suffix":""},{"dropping-particle":"","family":"Cullen","given":"Sean P.","non-dropping-particle":"","parse-names":false,"suffix":""},{"dropping-particle":"","family":"Martin","given":"Seamus J.","non-dropping-particle":"","parse-names":false,"suffix":""}],"container-title":"Nature Reviews Molecular Cell Biology","id":"ITEM-1","issue":"3","issued":{"date-parts":[["2008"]]},"page":"231-241","title":"Apoptosis: Controlled demolition at the cellular level","type":"article-journal","volume":"9"},"uris":["http://www.mendeley.com/documents/?uuid=041f1df7-20fa-4fef-bcf3-d16fed2c0f16"]}],"mendeley":{"formattedCitation":"(1)","manualFormatting":"1","plainTextFormattedCitation":"(1)","previouslyFormattedCitation":"(1)"},"properties":{"noteIndex":0},"schema":"https://github.com/citation-style-language/schema/raw/master/csl-citation.json"}</w:instrText>
      </w:r>
      <w:r w:rsidRPr="007C0ACA">
        <w:rPr>
          <w:vertAlign w:val="superscript"/>
        </w:rPr>
        <w:fldChar w:fldCharType="separate"/>
      </w:r>
      <w:r w:rsidRPr="007C0ACA">
        <w:rPr>
          <w:noProof/>
          <w:vertAlign w:val="superscript"/>
        </w:rPr>
        <w:t>1</w:t>
      </w:r>
      <w:r w:rsidRPr="007C0ACA">
        <w:rPr>
          <w:vertAlign w:val="superscript"/>
        </w:rPr>
        <w:fldChar w:fldCharType="end"/>
      </w:r>
      <w:r w:rsidRPr="007C0ACA">
        <w:rPr>
          <w:szCs w:val="14"/>
        </w:rPr>
        <w:t xml:space="preserve"> In this process, a cell undergoes a series of morphological transformations that lead to phagocytes recognition with its subsequent engulfment.</w:t>
      </w:r>
      <w:r w:rsidRPr="007C0ACA">
        <w:rPr>
          <w:szCs w:val="14"/>
          <w:vertAlign w:val="superscript"/>
        </w:rPr>
        <w:fldChar w:fldCharType="begin" w:fldLock="1"/>
      </w:r>
      <w:r w:rsidR="007A3EA2" w:rsidRPr="007C0ACA">
        <w:rPr>
          <w:szCs w:val="14"/>
          <w:vertAlign w:val="superscript"/>
        </w:rPr>
        <w:instrText>ADDIN CSL_CITATION {"citationItems":[{"id":"ITEM-1","itemData":{"DOI":"10.1080/01926230701320337","ISSN":"01926233","abstract":"The process of programmed cell death, or apoptosis, is generally characterized by distinct morphological characteristics and energy-dependent biochemical mechanisms. Apoptosis is considered a vital component of various processes including normal cell turnover, proper development and functioning of the immune system, hormone-dependent atrophy, embryonic development and chemical-induced cell death. Inappropriate apoptosis (either too little or too much) is a factor in many human conditions including neurodegenerative diseases, ischemic damage, autoimmune disorders and many types of cancer. The ability to modulate the life or death of a cell is recognized for its immense therapeutic potential. Therefore, research continues to focus on the elucidation and analysis of the cell cycle machinery and signaling pathways that control cell cycle arrest and apoptosis. To that end, the field of apoptosis research has been moving forward at an alarmingly rapid rate. Although many of the key apoptotic proteins have been identified, the molecular mechanisms of action or inaction of these proteins remain to be elucidated. The goal of this review is to provide a general overview of current knowledge on the process of apoptosis including morphology, biochemistry, the role of apoptosis in health and disease, detection methods, as well as a discussion of potential alternative forms of apoptosis.","author":[{"dropping-particle":"","family":"Elmore","given":"Susan","non-dropping-particle":"","parse-names":false,"suffix":""}],"container-title":"Toxicologic Pathology","id":"ITEM-1","issue":"4","issued":{"date-parts":[["2007"]]},"page":"495-516","title":"Apoptosis: A Review of Programmed Cell Death","type":"article-journal","volume":"35"},"uris":["http://www.mendeley.com/documents/?uuid=67da49cd-9566-4556-9784-bdb9259a0e58"]}],"mendeley":{"formattedCitation":"(2)","manualFormatting":"2","plainTextFormattedCitation":"(2)","previouslyFormattedCitation":"(2)"},"properties":{"noteIndex":0},"schema":"https://github.com/citation-style-language/schema/raw/master/csl-citation.json"}</w:instrText>
      </w:r>
      <w:r w:rsidRPr="007C0ACA">
        <w:rPr>
          <w:szCs w:val="14"/>
          <w:vertAlign w:val="superscript"/>
        </w:rPr>
        <w:fldChar w:fldCharType="separate"/>
      </w:r>
      <w:r w:rsidRPr="007C0ACA">
        <w:rPr>
          <w:noProof/>
          <w:szCs w:val="14"/>
          <w:vertAlign w:val="superscript"/>
        </w:rPr>
        <w:t>2</w:t>
      </w:r>
      <w:r w:rsidRPr="007C0ACA">
        <w:rPr>
          <w:szCs w:val="14"/>
          <w:vertAlign w:val="superscript"/>
        </w:rPr>
        <w:fldChar w:fldCharType="end"/>
      </w:r>
      <w:r w:rsidRPr="007C0ACA">
        <w:rPr>
          <w:szCs w:val="14"/>
        </w:rPr>
        <w:t xml:space="preserve"> Deregulation of apoptosis has a major impact in disease. Thus, an excessive response to apoptosis signals can lead to an increased ischemic condition or drive neurodegeneration, whereas defective apoptosis has a major role in tumour development and autoimmune diseases</w:t>
      </w:r>
      <w:r w:rsidR="00E038EF" w:rsidRPr="007C0ACA">
        <w:rPr>
          <w:szCs w:val="14"/>
        </w:rPr>
        <w:t>,</w:t>
      </w:r>
      <w:r w:rsidRPr="007C0ACA">
        <w:rPr>
          <w:szCs w:val="14"/>
        </w:rPr>
        <w:t xml:space="preserve"> among others.</w:t>
      </w:r>
      <w:r w:rsidRPr="007C0ACA">
        <w:rPr>
          <w:szCs w:val="14"/>
          <w:vertAlign w:val="superscript"/>
        </w:rPr>
        <w:fldChar w:fldCharType="begin" w:fldLock="1"/>
      </w:r>
      <w:r w:rsidR="007A3EA2" w:rsidRPr="007C0ACA">
        <w:rPr>
          <w:szCs w:val="14"/>
          <w:vertAlign w:val="superscript"/>
        </w:rPr>
        <w:instrText>ADDIN CSL_CITATION {"citationItems":[{"id":"ITEM-1","itemData":{"author":[{"dropping-particle":"","family":"Favaloro","given":"B","non-dropping-particle":"","parse-names":false,"suffix":""},{"dropping-particle":"","family":"Allocati","given":"N","non-dropping-particle":"","parse-names":false,"suffix":""},{"dropping-particle":"","family":"Graziano","given":"V","non-dropping-particle":"","parse-names":false,"suffix":""},{"dropping-particle":"Di","family":"Ilio","given":"C","non-dropping-particle":"","parse-names":false,"suffix":""},{"dropping-particle":"De","family":"Laurenzi","given":"V","non-dropping-particle":"","parse-names":false,"suffix":""}],"id":"ITEM-1","issue":"5","issued":{"date-parts":[["0"]]},"page":"330-349","title":"Favaloro2012","type":"article-journal","volume":"4"},"uris":["http://www.mendeley.com/documents/?uuid=5581ccb5-68aa-4e44-a580-ed6c6aab7ae9"]}],"mendeley":{"formattedCitation":"(3)","manualFormatting":"3","plainTextFormattedCitation":"(3)","previouslyFormattedCitation":"(3)"},"properties":{"noteIndex":0},"schema":"https://github.com/citation-style-language/schema/raw/master/csl-citation.json"}</w:instrText>
      </w:r>
      <w:r w:rsidRPr="007C0ACA">
        <w:rPr>
          <w:szCs w:val="14"/>
          <w:vertAlign w:val="superscript"/>
        </w:rPr>
        <w:fldChar w:fldCharType="separate"/>
      </w:r>
      <w:r w:rsidRPr="007C0ACA">
        <w:rPr>
          <w:noProof/>
          <w:szCs w:val="14"/>
          <w:vertAlign w:val="superscript"/>
        </w:rPr>
        <w:t>3</w:t>
      </w:r>
      <w:r w:rsidRPr="007C0ACA">
        <w:rPr>
          <w:szCs w:val="14"/>
          <w:vertAlign w:val="superscript"/>
        </w:rPr>
        <w:fldChar w:fldCharType="end"/>
      </w:r>
      <w:r w:rsidRPr="007C0ACA">
        <w:rPr>
          <w:szCs w:val="14"/>
        </w:rPr>
        <w:t xml:space="preserve"> </w:t>
      </w:r>
    </w:p>
    <w:p w14:paraId="287C3A08" w14:textId="02CB171D" w:rsidR="00820B0B" w:rsidRPr="007C0ACA" w:rsidRDefault="00820B0B" w:rsidP="00B87EFB">
      <w:pPr>
        <w:ind w:firstLine="720"/>
        <w:jc w:val="both"/>
        <w:rPr>
          <w:vertAlign w:val="superscript"/>
        </w:rPr>
      </w:pPr>
      <w:r w:rsidRPr="007C0ACA">
        <w:t>Apoptosis is orchestrated by diverse cysteine proteases of the caspase family</w:t>
      </w:r>
      <w:r w:rsidRPr="007C0ACA">
        <w:fldChar w:fldCharType="begin" w:fldLock="1"/>
      </w:r>
      <w:r w:rsidR="007A3EA2" w:rsidRPr="007C0ACA">
        <w:instrText>ADDIN CSL_CITATION {"citationItems":[{"id":"ITEM-1","itemData":{"DOI":"10.1038/cdd.2014.216","ISSN":"14765403","abstract":"© 2015 Macmillan Publishers Limited All rights reserved. Caspases are proteases with a well-defined role in apoptosis. However, increasing evidence indicates multiple functions of caspases outside apoptosis. Caspase-1 and caspase-11 have roles in inflammation and mediating inflammatory cell death by pyroptosis. Similarly, caspase-8 has dual role in cell death, mediating both receptor-mediated apoptosis and in its absence, necroptosis. Caspase-8 also functions in maintenance and homeostasis of the adult T-cell population. Caspase-3 has important roles in tissue differentiation, regeneration and neural development in ways that are distinct and do not involve any apoptotic activity. Several other caspases have demonstrated anti-tumor roles. Notable among them are caspase-2, -8 and -14. However, increased caspase-2 and -8 expression in certain types of tumor has also been linked to promoting tumorigenesis. Increased levels of caspase-3 in tumor cells causes apoptosis and secretion of paracrine factors that promotes compensatory proliferation in surrounding normal tissues, tumor cell repopulation and presents a barrier for effective therapeutic strategies. Besides this caspase-2 has emerged as a unique caspase with potential roles in maintaining genomic stability, metabolism, autophagy and aging. The present review focuses on some of these less studied and emerging functions of mammalian caspases.","author":[{"dropping-particle":"","family":"Shalini","given":"S.","non-dropping-particle":"","parse-names":false,"suffix":""},{"dropping-particle":"","family":"Dorstyn","given":"L.","non-dropping-particle":"","parse-names":false,"suffix":""},{"dropping-particle":"","family":"Dawar","given":"S.","non-dropping-particle":"","parse-names":false,"suffix":""},{"dropping-particle":"","family":"Kumar","given":"S.","non-dropping-particle":"","parse-names":false,"suffix":""}],"container-title":"Cell Death and Differentiation","id":"ITEM-1","issue":"4","issued":{"date-parts":[["2015"]]},"page":"526-539","publisher":"Nature Publishing Group","title":"Old, new and emerging functions of caspases","type":"article-journal","volume":"22"},"uris":["http://www.mendeley.com/documents/?uuid=c6c3277d-0e93-49ec-b974-f1ccb0ea6cde"]}],"mendeley":{"formattedCitation":"(4)","manualFormatting":"4","plainTextFormattedCitation":"(4)","previouslyFormattedCitation":"(4)"},"properties":{"noteIndex":0},"schema":"https://github.com/citation-style-language/schema/raw/master/csl-citation.json"}</w:instrText>
      </w:r>
      <w:r w:rsidRPr="007C0ACA">
        <w:fldChar w:fldCharType="separate"/>
      </w:r>
      <w:r w:rsidRPr="007C0ACA">
        <w:rPr>
          <w:noProof/>
          <w:vertAlign w:val="superscript"/>
        </w:rPr>
        <w:t>4</w:t>
      </w:r>
      <w:r w:rsidRPr="007C0ACA">
        <w:fldChar w:fldCharType="end"/>
      </w:r>
      <w:r w:rsidRPr="007C0ACA">
        <w:t xml:space="preserve"> and is initiated through two different signalling pathways: the extrinsic and intrinsic pathways.</w:t>
      </w:r>
      <w:r w:rsidRPr="007C0ACA">
        <w:rPr>
          <w:vertAlign w:val="superscript"/>
        </w:rPr>
        <w:fldChar w:fldCharType="begin" w:fldLock="1"/>
      </w:r>
      <w:r w:rsidR="007A3EA2" w:rsidRPr="007C0ACA">
        <w:rPr>
          <w:vertAlign w:val="superscript"/>
        </w:rPr>
        <w:instrText>ADDIN CSL_CITATION {"citationItems":[{"id":"ITEM-1","itemData":{"DOI":"10.1038/nrm2312","ISSN":"14710072","abstract":"Apoptosis is characterized by a series of dramatic perturbations to the cellular architecture that contribute not only to cell death, but also prepare cells for removal by phagocytes and prevent unwanted immune responses. Much of what happens during the demolition phase of apoptosis is orchestrated by members of the caspase family of cysteine proteases. These proteases target several hundred proteins for restricted proteolysis in a controlled manner that minimizes damage and disruption to neighbouring cells and avoids the release of immunostimulatory molecules.","author":[{"dropping-particle":"","family":"Taylor","given":"Rebecca C.","non-dropping-particle":"","parse-names":false,"suffix":""},{"dropping-particle":"","family":"Cullen","given":"Sean P.","non-dropping-particle":"","parse-names":false,"suffix":""},{"dropping-particle":"","family":"Martin","given":"Seamus J.","non-dropping-particle":"","parse-names":false,"suffix":""}],"container-title":"Nature Reviews Molecular Cell Biology","id":"ITEM-1","issue":"3","issued":{"date-parts":[["2008"]]},"page":"231-241","title":"Apoptosis: Controlled demolition at the cellular level","type":"article-journal","volume":"9"},"uris":["http://www.mendeley.com/documents/?uuid=041f1df7-20fa-4fef-bcf3-d16fed2c0f16"]}],"mendeley":{"formattedCitation":"(1)","manualFormatting":"1","plainTextFormattedCitation":"(1)","previouslyFormattedCitation":"(1)"},"properties":{"noteIndex":0},"schema":"https://github.com/citation-style-language/schema/raw/master/csl-citation.json"}</w:instrText>
      </w:r>
      <w:r w:rsidRPr="007C0ACA">
        <w:rPr>
          <w:vertAlign w:val="superscript"/>
        </w:rPr>
        <w:fldChar w:fldCharType="separate"/>
      </w:r>
      <w:r w:rsidRPr="007C0ACA">
        <w:rPr>
          <w:noProof/>
          <w:vertAlign w:val="superscript"/>
        </w:rPr>
        <w:t>1</w:t>
      </w:r>
      <w:r w:rsidRPr="007C0ACA">
        <w:rPr>
          <w:vertAlign w:val="superscript"/>
        </w:rPr>
        <w:fldChar w:fldCharType="end"/>
      </w:r>
      <w:r w:rsidRPr="007C0ACA">
        <w:t xml:space="preserve"> In the former, the process is mediated by cell surface death receptors that recognize specific signals from other cells and activate the caspase cascade, whereas in the latter, mitochondrial outer membrane permeabilization (MOMP) is produced as a consequence of cell stress or damage.</w:t>
      </w:r>
      <w:r w:rsidRPr="007C0ACA">
        <w:rPr>
          <w:vertAlign w:val="superscript"/>
        </w:rPr>
        <w:fldChar w:fldCharType="begin" w:fldLock="1"/>
      </w:r>
      <w:r w:rsidR="007A3EA2" w:rsidRPr="007C0ACA">
        <w:rPr>
          <w:vertAlign w:val="superscript"/>
        </w:rPr>
        <w:instrText>ADDIN CSL_CITATION {"citationItems":[{"id":"ITEM-1","itemData":{"DOI":"10.1038/nrm2312","ISSN":"14710072","abstract":"Apoptosis is characterized by a series of dramatic perturbations to the cellular architecture that contribute not only to cell death, but also prepare cells for removal by phagocytes and prevent unwanted immune responses. Much of what happens during the demolition phase of apoptosis is orchestrated by members of the caspase family of cysteine proteases. These proteases target several hundred proteins for restricted proteolysis in a controlled manner that minimizes damage and disruption to neighbouring cells and avoids the release of immunostimulatory molecules.","author":[{"dropping-particle":"","family":"Taylor","given":"Rebecca C.","non-dropping-particle":"","parse-names":false,"suffix":""},{"dropping-particle":"","family":"Cullen","given":"Sean P.","non-dropping-particle":"","parse-names":false,"suffix":""},{"dropping-particle":"","family":"Martin","given":"Seamus J.","non-dropping-particle":"","parse-names":false,"suffix":""}],"container-title":"Nature Reviews Molecular Cell Biology","id":"ITEM-1","issue":"3","issued":{"date-parts":[["2008"]]},"page":"231-241","title":"Apoptosis: Controlled demolition at the cellular level","type":"article-journal","volume":"9"},"uris":["http://www.mendeley.com/documents/?uuid=041f1df7-20fa-4fef-bcf3-d16fed2c0f16"]},{"id":"ITEM-2","itemData":{"DOI":"10.1038/nrm2952","ISSN":"14710072","abstract":"Programmed cell death (apoptosis) is an important mechanism that determines the size and shape of the vertebrate nervous system. Recent gene-targeting studies have indicated that homologs of the cell-death pathway in the nematode Caenorhabditis elegans have analogous functions in apoptosis in the developing mammalian brain. However, epistatic genetic analysis has revealed that the apoptosis of progenitor cells during early embryonic development and apoptosis of postmitotic neurons at later stage of brain development have distinct roles and mechanisms. These results provide new insight on the significance and mechanism of neural cell death in mammalian brain development.","author":[{"dropping-particle":"","family":"Tait","given":"S. W G","non-dropping-particle":"","parse-names":false,"suffix":""},{"dropping-particle":"","family":"Green","given":"Douglas R.","non-dropping-particle":"","parse-names":false,"suffix":""}],"container-title":"Nature Reviews Molecular Cell Biology","id":"ITEM-2","issue":"9","issued":{"date-parts":[["2010"]]},"page":"621-632","publisher":"Nature Publishing Group","title":"Mitochondria and cell death: Outer membrane permeabilization and beyond","type":"article-journal","volume":"11"},"uris":["http://www.mendeley.com/documents/?uuid=0a8f01c8-ef65-472a-9df2-db18e54f948c"]}],"mendeley":{"formattedCitation":"(1,5)","manualFormatting":"1,5","plainTextFormattedCitation":"(1,5)","previouslyFormattedCitation":"(1,5)"},"properties":{"noteIndex":0},"schema":"https://github.com/citation-style-language/schema/raw/master/csl-citation.json"}</w:instrText>
      </w:r>
      <w:r w:rsidRPr="007C0ACA">
        <w:rPr>
          <w:vertAlign w:val="superscript"/>
        </w:rPr>
        <w:fldChar w:fldCharType="separate"/>
      </w:r>
      <w:r w:rsidRPr="007C0ACA">
        <w:rPr>
          <w:noProof/>
          <w:vertAlign w:val="superscript"/>
        </w:rPr>
        <w:t>1,5</w:t>
      </w:r>
      <w:r w:rsidRPr="007C0ACA">
        <w:rPr>
          <w:vertAlign w:val="superscript"/>
        </w:rPr>
        <w:fldChar w:fldCharType="end"/>
      </w:r>
      <w:r w:rsidRPr="007C0ACA">
        <w:t xml:space="preserve"> MOMP facilitates the release of pro-apoptoti</w:t>
      </w:r>
      <w:r w:rsidR="009A3C94" w:rsidRPr="007C0ACA">
        <w:t>c factors, such as cytochrome c</w:t>
      </w:r>
      <w:r w:rsidRPr="007C0ACA">
        <w:t xml:space="preserve"> into the cytosol, triggering the assembly of the caspase-activating complex to initiate the activation of the executioner caspases 3, 6 and 7 for dismantling the cell.</w:t>
      </w:r>
      <w:r w:rsidRPr="007C0ACA">
        <w:rPr>
          <w:vertAlign w:val="superscript"/>
        </w:rPr>
        <w:fldChar w:fldCharType="begin" w:fldLock="1"/>
      </w:r>
      <w:r w:rsidR="007A3EA2" w:rsidRPr="007C0ACA">
        <w:rPr>
          <w:vertAlign w:val="superscript"/>
        </w:rPr>
        <w:instrText>ADDIN CSL_CITATION {"citationItems":[{"id":"ITEM-1","itemData":{"DOI":"10.1038/nrm2312","ISSN":"14710072","abstract":"Apoptosis is characterized by a series of dramatic perturbations to the cellular architecture that contribute not only to cell death, but also prepare cells for removal by phagocytes and prevent unwanted immune responses. Much of what happens during the demolition phase of apoptosis is orchestrated by members of the caspase family of cysteine proteases. These proteases target several hundred proteins for restricted proteolysis in a controlled manner that minimizes damage and disruption to neighbouring cells and avoids the release of immunostimulatory molecules.","author":[{"dropping-particle":"","family":"Taylor","given":"Rebecca C.","non-dropping-particle":"","parse-names":false,"suffix":""},{"dropping-particle":"","family":"Cullen","given":"Sean P.","non-dropping-particle":"","parse-names":false,"suffix":""},{"dropping-particle":"","family":"Martin","given":"Seamus J.","non-dropping-particle":"","parse-names":false,"suffix":""}],"container-title":"Nature Reviews Molecular Cell Biology","id":"ITEM-1","issue":"3","issued":{"date-parts":[["2008"]]},"page":"231-241","title":"Apoptosis: Controlled demolition at the cellular level","type":"article-journal","volume":"9"},"uris":["http://www.mendeley.com/documents/?uuid=041f1df7-20fa-4fef-bcf3-d16fed2c0f16"]},{"id":"ITEM-2","itemData":{"DOI":"10.1038/nrm2952","ISSN":"14710072","abstract":"Programmed cell death (apoptosis) is an important mechanism that determines the size and shape of the vertebrate nervous system. Recent gene-targeting studies have indicated that homologs of the cell-death pathway in the nematode Caenorhabditis elegans have analogous functions in apoptosis in the developing mammalian brain. However, epistatic genetic analysis has revealed that the apoptosis of progenitor cells during early embryonic development and apoptosis of postmitotic neurons at later stage of brain development have distinct roles and mechanisms. These results provide new insight on the significance and mechanism of neural cell death in mammalian brain development.","author":[{"dropping-particle":"","family":"Tait","given":"S. W G","non-dropping-particle":"","parse-names":false,"suffix":""},{"dropping-particle":"","family":"Green","given":"Douglas R.","non-dropping-particle":"","parse-names":false,"suffix":""}],"container-title":"Nature Reviews Molecular Cell Biology","id":"ITEM-2","issue":"9","issued":{"date-parts":[["2010"]]},"page":"621-632","publisher":"Nature Publishing Group","title":"Mitochondria and cell death: Outer membrane permeabilization and beyond","type":"article-journal","volume":"11"},"uris":["http://www.mendeley.com/documents/?uuid=0a8f01c8-ef65-472a-9df2-db18e54f948c"]}],"mendeley":{"formattedCitation":"(1,5)","manualFormatting":"1,5","plainTextFormattedCitation":"(1,5)","previouslyFormattedCitation":"(1,5)"},"properties":{"noteIndex":0},"schema":"https://github.com/citation-style-language/schema/raw/master/csl-citation.json"}</w:instrText>
      </w:r>
      <w:r w:rsidRPr="007C0ACA">
        <w:rPr>
          <w:vertAlign w:val="superscript"/>
        </w:rPr>
        <w:fldChar w:fldCharType="separate"/>
      </w:r>
      <w:r w:rsidRPr="007C0ACA">
        <w:rPr>
          <w:noProof/>
          <w:vertAlign w:val="superscript"/>
        </w:rPr>
        <w:t>1,5</w:t>
      </w:r>
      <w:r w:rsidRPr="007C0ACA">
        <w:rPr>
          <w:vertAlign w:val="superscript"/>
        </w:rPr>
        <w:fldChar w:fldCharType="end"/>
      </w:r>
      <w:r w:rsidRPr="007C0ACA">
        <w:rPr>
          <w:vertAlign w:val="superscript"/>
        </w:rPr>
        <w:t xml:space="preserve"> </w:t>
      </w:r>
      <w:r w:rsidRPr="007C0ACA">
        <w:t>This is a highly regulated process, since once MOMP is produced even if caspase activity is blocked, cells experience a bioenergetic collapse.</w:t>
      </w:r>
      <w:r w:rsidRPr="007C0ACA">
        <w:rPr>
          <w:vertAlign w:val="superscript"/>
        </w:rPr>
        <w:fldChar w:fldCharType="begin" w:fldLock="1"/>
      </w:r>
      <w:r w:rsidR="007A3EA2" w:rsidRPr="007C0ACA">
        <w:rPr>
          <w:vertAlign w:val="superscript"/>
        </w:rPr>
        <w:instrText>ADDIN CSL_CITATION {"citationItems":[{"id":"ITEM-1","itemData":{"DOI":"10.1038/jid.2010.15.Antagonistic","author":[{"dropping-particle":"","family":"Lemaire","given":"Raphael","non-dropping-particle":"","parse-names":false,"suffix":""},{"dropping-particle":"","family":"Ph","given":"D","non-dropping-particle":"","parse-names":false,"suffix":""},{"dropping-particle":"","family":"Farina","given":"Giuseppina","non-dropping-particle":"","parse-names":false,"suffix":""},{"dropping-particle":"","family":"Ph","given":"D","non-dropping-particle":"","parse-names":false,"suffix":""},{"dropping-particle":"","family":"Bayle","given":"Julie","non-dropping-particle":"","parse-names":false,"suffix":""},{"dropping-particle":"","family":"Ph","given":"D","non-dropping-particle":"","parse-names":false,"suffix":""},{"dropping-particle":"","family":"Pendergrass","given":"Sarah A","non-dropping-particle":"","parse-names":false,"suffix":""},{"dropping-particle":"","family":"Ph","given":"D","non-dropping-particle":"","parse-names":false,"suffix":""},{"dropping-particle":"","family":"Milano","given":"Ausra","non-dropping-particle":"","parse-names":false,"suffix":""},{"dropping-particle":"","family":"Ph","given":"D","non-dropping-particle":"","parse-names":false,"suffix":""},{"dropping-particle":"","family":"Whitfield","given":"Michael L","non-dropping-particle":"","parse-names":false,"suffix":""},{"dropping-particle":"","family":"Ph","given":"D","non-dropping-particle":"","parse-names":false,"suffix":""},{"dropping-particle":"","family":"Lafyatis","given":"Robert","non-dropping-particle":"","parse-names":false,"suffix":""}],"id":"ITEM-1","issue":"6","issued":{"date-parts":[["2011"]]},"page":"1514-1523","title":"NIH Public Access","type":"article-journal","volume":"130"},"uris":["http://www.mendeley.com/documents/?uuid=56fe2d8e-faf8-4122-aaba-34e0dd08026c"]}],"mendeley":{"formattedCitation":"(6)","manualFormatting":"6","plainTextFormattedCitation":"(6)","previouslyFormattedCitation":"(6)"},"properties":{"noteIndex":0},"schema":"https://github.com/citation-style-language/schema/raw/master/csl-citation.json"}</w:instrText>
      </w:r>
      <w:r w:rsidRPr="007C0ACA">
        <w:rPr>
          <w:vertAlign w:val="superscript"/>
        </w:rPr>
        <w:fldChar w:fldCharType="separate"/>
      </w:r>
      <w:r w:rsidRPr="007C0ACA">
        <w:rPr>
          <w:noProof/>
          <w:vertAlign w:val="superscript"/>
        </w:rPr>
        <w:t>6</w:t>
      </w:r>
      <w:r w:rsidRPr="007C0ACA">
        <w:rPr>
          <w:vertAlign w:val="superscript"/>
        </w:rPr>
        <w:fldChar w:fldCharType="end"/>
      </w:r>
      <w:r w:rsidRPr="007C0ACA">
        <w:rPr>
          <w:vertAlign w:val="superscript"/>
        </w:rPr>
        <w:t>,</w:t>
      </w:r>
      <w:r w:rsidRPr="007C0ACA">
        <w:rPr>
          <w:vertAlign w:val="superscript"/>
        </w:rPr>
        <w:fldChar w:fldCharType="begin" w:fldLock="1"/>
      </w:r>
      <w:r w:rsidR="007A3EA2" w:rsidRPr="007C0ACA">
        <w:rPr>
          <w:vertAlign w:val="superscript"/>
        </w:rPr>
        <w:instrText>ADDIN CSL_CITATION {"citationItems":[{"id":"ITEM-1","itemData":{"DOI":"10.1111/j.1749-6632.2010.05633.x.Bioenergetics","author":[{"dropping-particle":"","family":"Manuscript","given":"Author","non-dropping-particle":"","parse-names":false,"suffix":""}],"id":"ITEM-1","issued":{"date-parts":[["2011"]]},"page":"50-57","title":"Bioenergetics and cell death Yulia Kushnareva Donald D. Newmeyer","type":"article-journal"},"uris":["http://www.mendeley.com/documents/?uuid=51b96f7b-9535-4f79-951f-e4a0d3be04f9"]}],"mendeley":{"formattedCitation":"(7)","manualFormatting":"7","plainTextFormattedCitation":"(7)","previouslyFormattedCitation":"(7)"},"properties":{"noteIndex":0},"schema":"https://github.com/citation-style-language/schema/raw/master/csl-citation.json"}</w:instrText>
      </w:r>
      <w:r w:rsidRPr="007C0ACA">
        <w:rPr>
          <w:vertAlign w:val="superscript"/>
        </w:rPr>
        <w:fldChar w:fldCharType="separate"/>
      </w:r>
      <w:r w:rsidRPr="007C0ACA">
        <w:rPr>
          <w:noProof/>
          <w:vertAlign w:val="superscript"/>
        </w:rPr>
        <w:t>7</w:t>
      </w:r>
      <w:r w:rsidRPr="007C0ACA">
        <w:rPr>
          <w:vertAlign w:val="superscript"/>
        </w:rPr>
        <w:fldChar w:fldCharType="end"/>
      </w:r>
    </w:p>
    <w:p w14:paraId="48FA72FE" w14:textId="579AC317" w:rsidR="00820B0B" w:rsidRPr="007C0ACA" w:rsidRDefault="00820B0B" w:rsidP="00F43383">
      <w:pPr>
        <w:ind w:firstLine="720"/>
        <w:jc w:val="both"/>
      </w:pPr>
      <w:r w:rsidRPr="007C0ACA">
        <w:t>Members of the B-cell lymphoma-2 (Bcl-2) family of proteins are primary responsible for the control of the apoptotic intrinsic pathway, through the regulation of mitochondrial outer membrane permeability.</w:t>
      </w:r>
      <w:r w:rsidRPr="007C0ACA">
        <w:rPr>
          <w:vertAlign w:val="superscript"/>
        </w:rPr>
        <w:fldChar w:fldCharType="begin" w:fldLock="1"/>
      </w:r>
      <w:r w:rsidR="007A3EA2" w:rsidRPr="007C0ACA">
        <w:rPr>
          <w:vertAlign w:val="superscript"/>
        </w:rPr>
        <w:instrText>ADDIN CSL_CITATION {"citationItems":[{"id":"ITEM-1","itemData":{"DOI":"10.1038/nrm3722","ISSN":"14710072","abstract":"The BCL-2 protein family determines the commitment of cells to apoptosis, an ancient cell suicide programme that is essential for development, tissue homeostasis and immunity. Too little apoptosis can promote cancer and autoimmune diseases; too much apoptosis can augment ischaemic conditions and drive neurodegeneration. We discuss the biochemical, structural and genetic studies that have clarified how the interplay between members of the BCL-2 family on mitochondria sets the apoptotic threshold. These mechanistic insights into the functions of the BCL-2 family are illuminating the physiological control of apoptosis, the pathological consequences of its dysregulation and the promising search for novel cancer therapies that target the BCL-2 family.","author":[{"dropping-particle":"","family":"Czabotar","given":"Peter E.","non-dropping-particle":"","parse-names":false,"suffix":""},{"dropping-particle":"","family":"Lessene","given":"Guillaume","non-dropping-particle":"","parse-names":false,"suffix":""},{"dropping-particle":"","family":"Strasser","given":"Andreas","non-dropping-particle":"","parse-names":false,"suffix":""},{"dropping-particle":"","family":"Adams","given":"Jerry M.","non-dropping-particle":"","parse-names":false,"suffix":""}],"container-title":"Nature Reviews Molecular Cell Biology","id":"ITEM-1","issue":"1","issued":{"date-parts":[["2014"]]},"page":"49-63","publisher":"Nature Publishing Group","title":"Control of apoptosis by the BCL-2 protein family: Implications for physiology and therapy","type":"article-journal","volume":"15"},"uris":["http://www.mendeley.com/documents/?uuid=fdccdaf3-f6bb-4fad-85a2-3fcf4c7be3c9"]}],"mendeley":{"formattedCitation":"(8)","manualFormatting":"8","plainTextFormattedCitation":"(8)","previouslyFormattedCitation":"(8)"},"properties":{"noteIndex":0},"schema":"https://github.com/citation-style-language/schema/raw/master/csl-citation.json"}</w:instrText>
      </w:r>
      <w:r w:rsidRPr="007C0ACA">
        <w:rPr>
          <w:vertAlign w:val="superscript"/>
        </w:rPr>
        <w:fldChar w:fldCharType="separate"/>
      </w:r>
      <w:r w:rsidRPr="007C0ACA">
        <w:rPr>
          <w:noProof/>
          <w:vertAlign w:val="superscript"/>
        </w:rPr>
        <w:t>8</w:t>
      </w:r>
      <w:r w:rsidRPr="007C0ACA">
        <w:rPr>
          <w:vertAlign w:val="superscript"/>
        </w:rPr>
        <w:fldChar w:fldCharType="end"/>
      </w:r>
      <w:r w:rsidRPr="007C0ACA">
        <w:rPr>
          <w:vertAlign w:val="superscript"/>
        </w:rPr>
        <w:t>,</w:t>
      </w:r>
      <w:r w:rsidRPr="007C0ACA">
        <w:rPr>
          <w:vertAlign w:val="superscript"/>
        </w:rPr>
        <w:fldChar w:fldCharType="begin" w:fldLock="1"/>
      </w:r>
      <w:r w:rsidR="007A3EA2" w:rsidRPr="007C0ACA">
        <w:rPr>
          <w:vertAlign w:val="superscript"/>
        </w:rPr>
        <w:instrText>ADDIN CSL_CITATION {"citationItems":[{"id":"ITEM-1","itemData":{"DOI":"10.1016/j.molcel.2010.01.025","abstract":"B cell CLL/lymphoma-2 (BCL-2) and its relatives comprise the BCL-2 family of proteins, which were originally characterized with respect to their roles in controlling outer mitochondrial membrane integrity and apoptosis. Current observations expand BCL-2 family function to include numerous cellular pathways. Here we will discuss the mechanisms and functions of the BCL-2 family in the context of these pathways, highlighting the complex integration and regulation of the BCL-2 family in cell fate decisions.","author":[{"dropping-particle":"","family":"Chipuk","given":"Jerry E","non-dropping-particle":"","parse-names":false,"suffix":""},{"dropping-particle":"","family":"Moldoveanu","given":"Tudor","non-dropping-particle":"","parse-names":false,"suffix":""},{"dropping-particle":"","family":"Llambi","given":"Fabien","non-dropping-particle":"","parse-names":false,"suffix":""},{"dropping-particle":"","family":"Parsons","given":"Melissa J","non-dropping-particle":"","parse-names":false,"suffix":""},{"dropping-particle":"","family":"Green","given":"Douglas R","non-dropping-particle":"","parse-names":false,"suffix":""}],"id":"ITEM-1","issue":"3","issued":{"date-parts":[["2011"]]},"page":"299-310","title":"The BCL-2 Family Reunion A Death in the Family","type":"article-journal","volume":"37"},"uris":["http://www.mendeley.com/documents/?uuid=2f2433ad-141a-4c45-a22f-4b80f026f8dd"]}],"mendeley":{"formattedCitation":"(9)","manualFormatting":"9","plainTextFormattedCitation":"(9)","previouslyFormattedCitation":"(9)"},"properties":{"noteIndex":0},"schema":"https://github.com/citation-style-language/schema/raw/master/csl-citation.json"}</w:instrText>
      </w:r>
      <w:r w:rsidRPr="007C0ACA">
        <w:rPr>
          <w:vertAlign w:val="superscript"/>
        </w:rPr>
        <w:fldChar w:fldCharType="separate"/>
      </w:r>
      <w:r w:rsidRPr="007C0ACA">
        <w:rPr>
          <w:noProof/>
          <w:vertAlign w:val="superscript"/>
        </w:rPr>
        <w:t>9</w:t>
      </w:r>
      <w:r w:rsidRPr="007C0ACA">
        <w:rPr>
          <w:vertAlign w:val="superscript"/>
        </w:rPr>
        <w:fldChar w:fldCharType="end"/>
      </w:r>
      <w:r w:rsidRPr="007C0ACA">
        <w:t xml:space="preserve"> </w:t>
      </w:r>
      <w:r w:rsidR="00A84B4D" w:rsidRPr="007C0ACA">
        <w:t xml:space="preserve">A few members of the family have a pro-apoptotic profile, others anti-apoptotic, whereas the rest can be considered as </w:t>
      </w:r>
      <w:r w:rsidR="00CB082F" w:rsidRPr="007C0ACA">
        <w:t>triggerers</w:t>
      </w:r>
      <w:r w:rsidR="00A84B4D" w:rsidRPr="007C0ACA">
        <w:t>.</w:t>
      </w:r>
      <w:r w:rsidR="00A84B4D" w:rsidRPr="007C0ACA">
        <w:rPr>
          <w:vertAlign w:val="superscript"/>
        </w:rPr>
        <w:fldChar w:fldCharType="begin" w:fldLock="1"/>
      </w:r>
      <w:r w:rsidR="00A84B4D" w:rsidRPr="007C0ACA">
        <w:rPr>
          <w:vertAlign w:val="superscript"/>
        </w:rPr>
        <w:instrText>ADDIN CSL_CITATION {"citationItems":[{"id":"ITEM-1","itemData":{"DOI":"10.1038/s41580-018-0089-8","ISSN":"14710080","abstract":"The loss of vital cells within healthy tissues contributes to the development, progression and treatment outcomes of many human disorders, including neurological and infectious diseases as well as environmental and medical toxicities. Conversely, the abnormal survival and accumulation of damaged or superfluous cells drive prominent human pathologies such as cancers and autoimmune diseases. Apoptosis is an evolutionarily conserved cell death pathway that is responsible for the programmed culling of cells during normal eukaryotic development and maintenance of organismal homeostasis. This pathway is controlled by the BCL-2 family of proteins, which contains both pro-apoptotic and pro-survival members that balance the decision between cellular life and death. Recent insights into the dynamic interactions between BCL-2 family proteins and how they control apoptotic cell death in healthy and diseased cells have uncovered novel opportunities for therapeutic intervention. Importantly, the development of both positive and negative small-molecule modulators of apoptosis is now enabling researchers to translate the discoveries that have been made in the laboratory into clinical practice to positively impact human health.","author":[{"dropping-particle":"","family":"Singh","given":"Rumani","non-dropping-particle":"","parse-names":false,"suffix":""},{"dropping-particle":"","family":"Letai","given":"Anthony","non-dropping-particle":"","parse-names":false,"suffix":""},{"dropping-particle":"","family":"Sarosiek","given":"Kristopher","non-dropping-particle":"","parse-names":false,"suffix":""}],"container-title":"Nature Reviews Molecular Cell Biology","id":"ITEM-1","issue":"3","issued":{"date-parts":[["2019"]]},"page":"175-193","publisher":"Springer US","title":"Regulation of apoptosis in health and disease: the balancing act of BCL-2 family proteins","type":"article-journal","volume":"20"},"uris":["http://www.mendeley.com/documents/?uuid=054ca9f2-e961-46c9-923c-6efb01d1236e"]}],"mendeley":{"formattedCitation":"(10)","manualFormatting":"10","plainTextFormattedCitation":"(10)","previouslyFormattedCitation":"(10)"},"properties":{"noteIndex":0},"schema":"https://github.com/citation-style-language/schema/raw/master/csl-citation.json"}</w:instrText>
      </w:r>
      <w:r w:rsidR="00A84B4D" w:rsidRPr="007C0ACA">
        <w:rPr>
          <w:vertAlign w:val="superscript"/>
        </w:rPr>
        <w:fldChar w:fldCharType="separate"/>
      </w:r>
      <w:r w:rsidR="00A84B4D" w:rsidRPr="007C0ACA">
        <w:rPr>
          <w:noProof/>
          <w:vertAlign w:val="superscript"/>
        </w:rPr>
        <w:t>10</w:t>
      </w:r>
      <w:r w:rsidR="00A84B4D" w:rsidRPr="007C0ACA">
        <w:rPr>
          <w:vertAlign w:val="superscript"/>
        </w:rPr>
        <w:fldChar w:fldCharType="end"/>
      </w:r>
      <w:r w:rsidR="00A84B4D" w:rsidRPr="007C0ACA">
        <w:t xml:space="preserve"> </w:t>
      </w:r>
      <w:r w:rsidRPr="007C0ACA">
        <w:t>These proteins share one or more specific conserved regions known as Bcl-2 homology (BH) domains</w:t>
      </w:r>
      <w:r w:rsidR="00E038EF" w:rsidRPr="007C0ACA">
        <w:t>,</w:t>
      </w:r>
      <w:r w:rsidRPr="007C0ACA">
        <w:t xml:space="preserve"> </w:t>
      </w:r>
      <w:r w:rsidR="00E038EF" w:rsidRPr="007C0ACA">
        <w:t>recognised</w:t>
      </w:r>
      <w:r w:rsidRPr="007C0ACA">
        <w:t xml:space="preserve"> to be crucial for function, as deletion of these domains via molecular cloning affects survival/apoptosis rates.</w:t>
      </w:r>
      <w:r w:rsidR="005F4E3D" w:rsidRPr="007C0ACA">
        <w:t xml:space="preserve"> </w:t>
      </w:r>
      <w:r w:rsidR="00032CB8" w:rsidRPr="007C0ACA">
        <w:t>T</w:t>
      </w:r>
      <w:r w:rsidRPr="007C0ACA">
        <w:t>he pro-apoptotic effector Bcl-2 proteins (Bak and Bax), exhibit four BH domains (BH1-BH4), being the BH3</w:t>
      </w:r>
      <w:r w:rsidR="00C15CCC" w:rsidRPr="007C0ACA">
        <w:t xml:space="preserve">-domain </w:t>
      </w:r>
      <w:r w:rsidRPr="007C0ACA">
        <w:t xml:space="preserve">necessarily present for mitochondrial apoptosis signalling. These proteins are involved in </w:t>
      </w:r>
      <w:r w:rsidR="0059355D" w:rsidRPr="007C0ACA">
        <w:t>MOMP</w:t>
      </w:r>
      <w:r w:rsidRPr="007C0ACA">
        <w:t xml:space="preserve"> formation through homo-oligomerization.</w:t>
      </w:r>
      <w:r w:rsidR="009A3C94" w:rsidRPr="007C0ACA">
        <w:t xml:space="preserve"> </w:t>
      </w:r>
      <w:r w:rsidR="005619D7" w:rsidRPr="007C0ACA">
        <w:t xml:space="preserve">The </w:t>
      </w:r>
      <w:r w:rsidR="00A84B4D" w:rsidRPr="007C0ACA">
        <w:t xml:space="preserve">subset of </w:t>
      </w:r>
      <w:r w:rsidR="00C7227E" w:rsidRPr="007C0ACA">
        <w:t>BH3-only proteins</w:t>
      </w:r>
      <w:r w:rsidR="00A84B4D" w:rsidRPr="007C0ACA">
        <w:t xml:space="preserve"> are the actual triggers of apoptosis</w:t>
      </w:r>
      <w:r w:rsidR="009A3C94" w:rsidRPr="007C0ACA">
        <w:t xml:space="preserve">. Members of this group including Bim, Bid, Puma, Bad, Bik, Bmf, Hrk, Noxa </w:t>
      </w:r>
      <w:r w:rsidRPr="007C0ACA">
        <w:t>shar</w:t>
      </w:r>
      <w:r w:rsidR="009A3C94" w:rsidRPr="007C0ACA">
        <w:t>e</w:t>
      </w:r>
      <w:r w:rsidRPr="007C0ACA">
        <w:t xml:space="preserve"> little sequence homology apart from the BH3</w:t>
      </w:r>
      <w:r w:rsidR="00086CE0" w:rsidRPr="007C0ACA">
        <w:t>-domain</w:t>
      </w:r>
      <w:r w:rsidR="00F46AA1" w:rsidRPr="007C0ACA">
        <w:t>.</w:t>
      </w:r>
      <w:r w:rsidRPr="007C0ACA">
        <w:t xml:space="preserve"> </w:t>
      </w:r>
      <w:r w:rsidR="00391D66" w:rsidRPr="007C0ACA">
        <w:t xml:space="preserve">Some of these proteins </w:t>
      </w:r>
      <w:r w:rsidR="00C7227E" w:rsidRPr="007C0ACA">
        <w:t xml:space="preserve">like Bim, Bid and to a lesser extend Puma </w:t>
      </w:r>
      <w:r w:rsidR="00391D66" w:rsidRPr="007C0ACA">
        <w:t xml:space="preserve">are direct activators </w:t>
      </w:r>
      <w:r w:rsidR="00C7227E" w:rsidRPr="007C0ACA">
        <w:t>of the pro-apoptotic effector proteins, whereas the rest</w:t>
      </w:r>
      <w:r w:rsidR="00391D66" w:rsidRPr="007C0ACA">
        <w:t xml:space="preserve"> are </w:t>
      </w:r>
      <w:r w:rsidRPr="007C0ACA">
        <w:t>sens</w:t>
      </w:r>
      <w:r w:rsidR="009A3C94" w:rsidRPr="007C0ACA">
        <w:t xml:space="preserve">itizers </w:t>
      </w:r>
      <w:r w:rsidR="00BE7EDC" w:rsidRPr="007C0ACA">
        <w:t xml:space="preserve">that </w:t>
      </w:r>
      <w:r w:rsidRPr="007C0ACA">
        <w:t>indirectly activat</w:t>
      </w:r>
      <w:r w:rsidR="00BE7EDC" w:rsidRPr="007C0ACA">
        <w:t>e</w:t>
      </w:r>
      <w:r w:rsidRPr="007C0ACA">
        <w:t xml:space="preserve"> Bak and Bax by binding to anti-apoptotic proteins</w:t>
      </w:r>
      <w:r w:rsidR="00391D66" w:rsidRPr="007C0ACA">
        <w:t xml:space="preserve"> </w:t>
      </w:r>
      <w:r w:rsidR="00BE7EDC" w:rsidRPr="007C0ACA">
        <w:t xml:space="preserve">and </w:t>
      </w:r>
      <w:r w:rsidR="00391D66" w:rsidRPr="007C0ACA">
        <w:t>l</w:t>
      </w:r>
      <w:r w:rsidRPr="007C0ACA">
        <w:t>iberati</w:t>
      </w:r>
      <w:r w:rsidR="00391D66" w:rsidRPr="007C0ACA">
        <w:t xml:space="preserve">ng </w:t>
      </w:r>
      <w:r w:rsidR="00BE7EDC" w:rsidRPr="007C0ACA">
        <w:t>BH3-only activators</w:t>
      </w:r>
      <w:r w:rsidR="00391D66" w:rsidRPr="007C0ACA">
        <w:t>.</w:t>
      </w:r>
      <w:r w:rsidRPr="007C0ACA">
        <w:rPr>
          <w:vertAlign w:val="superscript"/>
        </w:rPr>
        <w:fldChar w:fldCharType="begin" w:fldLock="1"/>
      </w:r>
      <w:r w:rsidR="007A3EA2" w:rsidRPr="007C0ACA">
        <w:rPr>
          <w:vertAlign w:val="superscript"/>
        </w:rPr>
        <w:instrText>ADDIN CSL_CITATION {"citationItems":[{"id":"ITEM-1","itemData":{"DOI":"10.1038/s41580-018-0089-8","ISSN":"14710080","abstract":"The loss of vital cells within healthy tissues contributes to the development, progression and treatment outcomes of many human disorders, including neurological and infectious diseases as well as environmental and medical toxicities. Conversely, the abnormal survival and accumulation of damaged or superfluous cells drive prominent human pathologies such as cancers and autoimmune diseases. Apoptosis is an evolutionarily conserved cell death pathway that is responsible for the programmed culling of cells during normal eukaryotic development and maintenance of organismal homeostasis. This pathway is controlled by the BCL-2 family of proteins, which contains both pro-apoptotic and pro-survival members that balance the decision between cellular life and death. Recent insights into the dynamic interactions between BCL-2 family proteins and how they control apoptotic cell death in healthy and diseased cells have uncovered novel opportunities for therapeutic intervention. Importantly, the development of both positive and negative small-molecule modulators of apoptosis is now enabling researchers to translate the discoveries that have been made in the laboratory into clinical practice to positively impact human health.","author":[{"dropping-particle":"","family":"Singh","given":"Rumani","non-dropping-particle":"","parse-names":false,"suffix":""},{"dropping-particle":"","family":"Letai","given":"Anthony","non-dropping-particle":"","parse-names":false,"suffix":""},{"dropping-particle":"","family":"Sarosiek","given":"Kristopher","non-dropping-particle":"","parse-names":false,"suffix":""}],"container-title":"Nature Reviews Molecular Cell Biology","id":"ITEM-1","issue":"3","issued":{"date-parts":[["2019"]]},"page":"175-193","publisher":"Springer US","title":"Regulation of apoptosis in health and disease: the balancing act of BCL-2 family proteins","type":"article-journal","volume":"20"},"uris":["http://www.mendeley.com/documents/?uuid=054ca9f2-e961-46c9-923c-6efb01d1236e"]}],"mendeley":{"formattedCitation":"(10)","manualFormatting":"10","plainTextFormattedCitation":"(10)","previouslyFormattedCitation":"(10)"},"properties":{"noteIndex":0},"schema":"https://github.com/citation-style-language/schema/raw/master/csl-citation.json"}</w:instrText>
      </w:r>
      <w:r w:rsidRPr="007C0ACA">
        <w:rPr>
          <w:vertAlign w:val="superscript"/>
        </w:rPr>
        <w:fldChar w:fldCharType="separate"/>
      </w:r>
      <w:r w:rsidRPr="007C0ACA">
        <w:rPr>
          <w:noProof/>
          <w:vertAlign w:val="superscript"/>
        </w:rPr>
        <w:t>10</w:t>
      </w:r>
      <w:r w:rsidRPr="007C0ACA">
        <w:rPr>
          <w:vertAlign w:val="superscript"/>
        </w:rPr>
        <w:fldChar w:fldCharType="end"/>
      </w:r>
    </w:p>
    <w:p w14:paraId="4D336188" w14:textId="794A6C75" w:rsidR="00820B0B" w:rsidRPr="007C0ACA" w:rsidRDefault="00820B0B" w:rsidP="00B87EFB">
      <w:pPr>
        <w:ind w:firstLine="720"/>
        <w:jc w:val="both"/>
        <w:rPr>
          <w:vertAlign w:val="superscript"/>
        </w:rPr>
      </w:pPr>
      <w:r w:rsidRPr="007C0ACA">
        <w:t>The interaction network between members of the Bcl-2 family is dominated by protein-protein interactions. Indeed, the elucidation of the molecular structure of diverse members and different BH3-</w:t>
      </w:r>
      <w:r w:rsidR="00C15CCC" w:rsidRPr="007C0ACA">
        <w:t>domain</w:t>
      </w:r>
      <w:r w:rsidRPr="007C0ACA">
        <w:t>–Bcl2 complexes has been key in recent years to understand MOMP regulation and provide novel opportunities for therapeutic intervention.</w:t>
      </w:r>
      <w:r w:rsidRPr="007C0ACA">
        <w:rPr>
          <w:vertAlign w:val="superscript"/>
        </w:rPr>
        <w:fldChar w:fldCharType="begin" w:fldLock="1"/>
      </w:r>
      <w:r w:rsidR="007A3EA2" w:rsidRPr="007C0ACA">
        <w:rPr>
          <w:vertAlign w:val="superscript"/>
        </w:rPr>
        <w:instrText>ADDIN CSL_CITATION {"citationItems":[{"id":"ITEM-1","itemData":{"DOI":"10.1038/nrc.2015.17","ISSN":"14741768","abstract":"© 2016 Macmillan Publishers Limited. All rights reserved. The 'hallmarks of cancer' are generally accepted as a set of genetic and epigenetic alterations that a normal cell must accrue to transform into a fully malignant cancer. It follows that therapies designed to counter these alterations might be effective as anti-cancer strategies. Over the past 30 years, research on the BCL-2-regulated apoptotic pathway has led to the development of small-molecule compounds, known as 'BH3-mimetics', that bind to pro-survival BCL-2 proteins to directly activate apoptosis of malignant cells. This Timeline article focuses on the discovery and study of BCL-2, the wider BCL-2 protein family and, specifically, its roles in cancer development and therapy.","author":[{"dropping-particle":"","family":"Delbridge","given":"Alex R.D.","non-dropping-particle":"","parse-names":false,"suffix":""},{"dropping-particle":"","family":"Grabow","given":"Stephanie","non-dropping-particle":"","parse-names":false,"suffix":""},{"dropping-particle":"","family":"Strasser","given":"Andreas","non-dropping-particle":"","parse-names":false,"suffix":""},{"dropping-particle":"","family":"Vaux","given":"David L.","non-dropping-particle":"","parse-names":false,"suffix":""}],"container-title":"Nature Reviews Cancer","id":"ITEM-1","issue":"2","issued":{"date-parts":[["2016"]]},"page":"99-109","publisher":"Nature Publishing Group","title":"Thirty years of BCL-2: Translating cell death discoveries into novel cancer therapies","type":"article-journal","volume":"16"},"uris":["http://www.mendeley.com/documents/?uuid=e9810dd7-09de-49c4-b175-f05e5e67f18d"]}],"mendeley":{"formattedCitation":"(11)","manualFormatting":"11","plainTextFormattedCitation":"(11)","previouslyFormattedCitation":"(11)"},"properties":{"noteIndex":0},"schema":"https://github.com/citation-style-language/schema/raw/master/csl-citation.json"}</w:instrText>
      </w:r>
      <w:r w:rsidRPr="007C0ACA">
        <w:rPr>
          <w:vertAlign w:val="superscript"/>
        </w:rPr>
        <w:fldChar w:fldCharType="separate"/>
      </w:r>
      <w:r w:rsidRPr="007C0ACA">
        <w:rPr>
          <w:noProof/>
          <w:vertAlign w:val="superscript"/>
        </w:rPr>
        <w:t>11</w:t>
      </w:r>
      <w:r w:rsidRPr="007C0ACA">
        <w:rPr>
          <w:vertAlign w:val="superscript"/>
        </w:rPr>
        <w:fldChar w:fldCharType="end"/>
      </w:r>
      <w:r w:rsidRPr="007C0ACA">
        <w:rPr>
          <w:vertAlign w:val="superscript"/>
        </w:rPr>
        <w:t>,</w:t>
      </w:r>
      <w:r w:rsidRPr="007C0ACA">
        <w:rPr>
          <w:vertAlign w:val="superscript"/>
        </w:rPr>
        <w:fldChar w:fldCharType="begin" w:fldLock="1"/>
      </w:r>
      <w:r w:rsidR="007A3EA2" w:rsidRPr="007C0ACA">
        <w:rPr>
          <w:vertAlign w:val="superscript"/>
        </w:rPr>
        <w:instrText>ADDIN CSL_CITATION {"citationItems":[{"id":"ITEM-1","itemData":{"DOI":"10.1016/j.bcp.2019.01.015","ISSN":"18732968","abstract":"Evasion of apoptosis is fundamental to the pathogenesis of cancer. Members of the B-cell Lymphoma 2 (BCL-2) protein family are key pro- and anti-apoptotic regulators, and in healthy cells are held in a fine, delicate balance – perturbations of which may tip a cell irreversibly towards cellular death or, conversely, allow a cell to permanently escape apoptosis and immortalize itself as a malignant clone. The restoration of this balance or, indeed, adjustment in favor of apoptosis via manipulation of the BCL-2 family, is a promising area in the realm of molecular therapeutics, and one in which breathtaking advances are currently being made. The purpose of this review is to outline the role of the BCL-2 family in apoptosis, to contrast its optimal functioning with those disruptions seen in malignancy, and to provide an overview of the medications both presently available and currently under development which selectively target members of this family.","author":[{"dropping-particle":"","family":"Knight","given":"Tristan","non-dropping-particle":"","parse-names":false,"suffix":""},{"dropping-particle":"","family":"Luedtke","given":"Daniel","non-dropping-particle":"","parse-names":false,"suffix":""},{"dropping-particle":"","family":"Edwards","given":"Holly","non-dropping-particle":"","parse-names":false,"suffix":""},{"dropping-particle":"","family":"Taub","given":"Jeffrey W.","non-dropping-particle":"","parse-names":false,"suffix":""},{"dropping-particle":"","family":"Ge","given":"Yubin","non-dropping-particle":"","parse-names":false,"suffix":""}],"container-title":"Biochemical Pharmacology","id":"ITEM-1","issued":{"date-parts":[["2019"]]},"page":"250-261","publisher":"Elsevier Inc.","title":"A delicate balance – The BCL-2 family and its role in apoptosis, oncogenesis, and cancer therapeutics","type":"article-journal","volume":"162"},"uris":["http://www.mendeley.com/documents/?uuid=2d0c3fa2-91d7-4e70-a921-745ddf75f6f7"]}],"mendeley":{"formattedCitation":"(12)","manualFormatting":"12","plainTextFormattedCitation":"(12)","previouslyFormattedCitation":"(12)"},"properties":{"noteIndex":0},"schema":"https://github.com/citation-style-language/schema/raw/master/csl-citation.json"}</w:instrText>
      </w:r>
      <w:r w:rsidRPr="007C0ACA">
        <w:rPr>
          <w:vertAlign w:val="superscript"/>
        </w:rPr>
        <w:fldChar w:fldCharType="separate"/>
      </w:r>
      <w:r w:rsidRPr="007C0ACA">
        <w:rPr>
          <w:noProof/>
          <w:vertAlign w:val="superscript"/>
        </w:rPr>
        <w:t>12</w:t>
      </w:r>
      <w:r w:rsidRPr="007C0ACA">
        <w:rPr>
          <w:vertAlign w:val="superscript"/>
        </w:rPr>
        <w:fldChar w:fldCharType="end"/>
      </w:r>
      <w:r w:rsidRPr="007C0ACA">
        <w:t xml:space="preserve"> All multi-BH domain members exhibit a conserved all-α globular structure that consists of nine α-helices (α1-α9) packed around helix α5. The fold exhibits a </w:t>
      </w:r>
      <w:r w:rsidRPr="007C0ACA">
        <w:rPr>
          <w:i/>
        </w:rPr>
        <w:t>core</w:t>
      </w:r>
      <w:r w:rsidRPr="007C0ACA">
        <w:t xml:space="preserve"> domain defined by helices α2 – α5 and a </w:t>
      </w:r>
      <w:r w:rsidRPr="007C0ACA">
        <w:rPr>
          <w:i/>
        </w:rPr>
        <w:t>latch</w:t>
      </w:r>
      <w:r w:rsidRPr="007C0ACA">
        <w:t xml:space="preserve"> domain, defined by helices α6 – α8 (Figure 1) that is involved in the activation process. In the </w:t>
      </w:r>
      <w:r w:rsidRPr="007C0ACA">
        <w:rPr>
          <w:i/>
        </w:rPr>
        <w:t>core</w:t>
      </w:r>
      <w:r w:rsidRPr="007C0ACA">
        <w:t xml:space="preserve"> domain, helices are packed in such a way that define a hydrophobic surface groove</w:t>
      </w:r>
      <w:r w:rsidR="00EC5380" w:rsidRPr="007C0ACA">
        <w:t>,</w:t>
      </w:r>
      <w:r w:rsidRPr="007C0ACA">
        <w:t xml:space="preserve"> </w:t>
      </w:r>
      <w:r w:rsidR="00EC5380" w:rsidRPr="007C0ACA">
        <w:t>formed by α3 and α4 mainly.</w:t>
      </w:r>
      <w:r w:rsidR="002F50E4" w:rsidRPr="007C0ACA">
        <w:rPr>
          <w:vertAlign w:val="superscript"/>
        </w:rPr>
        <w:t>13,14</w:t>
      </w:r>
      <w:r w:rsidRPr="007C0ACA">
        <w:t xml:space="preserve"> </w:t>
      </w:r>
    </w:p>
    <w:p w14:paraId="52853C09" w14:textId="7D78D0F8" w:rsidR="00820B0B" w:rsidRPr="007C0ACA" w:rsidRDefault="00B87EFB" w:rsidP="00B87EFB">
      <w:pPr>
        <w:jc w:val="both"/>
      </w:pPr>
      <w:r w:rsidRPr="007C0ACA">
        <w:tab/>
      </w:r>
      <w:r w:rsidR="00820B0B" w:rsidRPr="007C0ACA">
        <w:t>Bcl-2 proteins interact with each other generating a complicated interaction network that regulates the apoptotic machinery. Despite knowledge accumulated in the last decades, our understanding of the mechanism of this regulation is not yet complete.</w:t>
      </w:r>
      <w:r w:rsidR="00820B0B" w:rsidRPr="007C0ACA">
        <w:rPr>
          <w:vertAlign w:val="superscript"/>
        </w:rPr>
        <w:fldChar w:fldCharType="begin" w:fldLock="1"/>
      </w:r>
      <w:r w:rsidR="007A3EA2" w:rsidRPr="007C0ACA">
        <w:rPr>
          <w:vertAlign w:val="superscript"/>
        </w:rPr>
        <w:instrText>ADDIN CSL_CITATION {"citationItems":[{"id":"ITEM-1","itemData":{"DOI":"10.1101/cshperspect.a008714","ISSN":"19430264","abstract":"The Bcl-2 family of proteins controls a critical step in commitment to apoptosis by regulating permeabilization of the mitochondrial outer membrane (MOM). The family is divided into three classes: multiregion proapoptotic proteins that directly permeabilize the MOM; BH3 proteins that directly or indirectly activate the pore-forming class members; and the antiapoptotic proteins that inhibit this process at several steps. Different experimental approaches have led to several models, each proposed to explain the interactions between Bcl-2 family proteins. The discovery that manyof these interactions occur at or in membranes as well as in the cytoplasm, and are governed by the concentrations and relative binding affinities of the proteins, provides a new basis for rationalizing these models. Furthermore, these dynamic interactions cause conformational changes in the Bcl-2 proteins that modulate their apoptotic function, providing additional potential modes of regulation. © 2013 Cold Spring Harbor Laboratory Press; all rights reserved.","author":[{"dropping-particle":"","family":"Shamas-Din","given":"Aisha","non-dropping-particle":"","parse-names":false,"suffix":""},{"dropping-particle":"","family":"Kale","given":"Justin","non-dropping-particle":"","parse-names":false,"suffix":""},{"dropping-particle":"","family":"Leber","given":"Brian","non-dropping-particle":"","parse-names":false,"suffix":""},{"dropping-particle":"","family":"Andrews","given":"David W.","non-dropping-particle":"","parse-names":false,"suffix":""}],"container-title":"Cold Spring Harbor Perspectives in Biology","id":"ITEM-1","issue":"4","issued":{"date-parts":[["2013"]]},"page":"1-21","title":"Mechanisms of action of Bcl-2 family proteins","type":"article-journal","volume":"5"},"uris":["http://www.mendeley.com/documents/?uuid=0c41b319-2582-4865-9029-be23bc791e1d"]},{"id":"ITEM-2","itemData":{"DOI":"10.1111/febs.14186","ISSN":"17424658","abstract":"Bax and Bak are members of the Bcl-2 family and core regulators of the intrinsic pathway of apoptosis. Upon apoptotic stimuli, they are activated and oligomerize at the mitochondrial outer membrane (MOM) to mediate its permeabilization, which is considered a key step in apoptosis. However, the molecular mechanism underlying Bax and Bak function has remained a key question in the field. Here, we review recent structural and biophysical evidence that has changed our understanding of how Bax and Bak promote MOM permeabilization. We also discuss how the spatial regulation of Bcl-2 family preference for binding partners contributes to regulate Bax and Bak activation. Finally, we consider the contribution of mitochondrial composition, dynamics and interaction with other organelles to apoptosis commitment. A new perspective is emerging, in which the control of apoptosis by Bax and Bak goes beyond them and is highly influenced by additional mitochondrial components.","author":[{"dropping-particle":"","family":"Peña-Blanco","given":"Aida","non-dropping-particle":"","parse-names":false,"suffix":""},{"dropping-particle":"","family":"García-Sáez","given":"Ana J.","non-dropping-particle":"","parse-names":false,"suffix":""}],"container-title":"FEBS Journal","id":"ITEM-2","issue":"3","issued":{"date-parts":[["2018"]]},"page":"416-431","title":"Bax, Bak and beyond — mitochondrial performance in apoptosis","type":"article-journal","volume":"285"},"uris":["http://www.mendeley.com/documents/?uuid=3e24abee-df20-466f-bdb1-4df3f23a14eb"]}],"mendeley":{"formattedCitation":"(15,16)","manualFormatting":"15,16","plainTextFormattedCitation":"(15,16)","previouslyFormattedCitation":"(15,16)"},"properties":{"noteIndex":0},"schema":"https://github.com/citation-style-language/schema/raw/master/csl-citation.json"}</w:instrText>
      </w:r>
      <w:r w:rsidR="00820B0B" w:rsidRPr="007C0ACA">
        <w:rPr>
          <w:vertAlign w:val="superscript"/>
        </w:rPr>
        <w:fldChar w:fldCharType="separate"/>
      </w:r>
      <w:r w:rsidR="00820B0B" w:rsidRPr="007C0ACA">
        <w:rPr>
          <w:noProof/>
          <w:vertAlign w:val="superscript"/>
        </w:rPr>
        <w:t>15,16</w:t>
      </w:r>
      <w:r w:rsidR="00820B0B" w:rsidRPr="007C0ACA">
        <w:rPr>
          <w:vertAlign w:val="superscript"/>
        </w:rPr>
        <w:fldChar w:fldCharType="end"/>
      </w:r>
      <w:r w:rsidR="00820B0B" w:rsidRPr="007C0ACA">
        <w:t xml:space="preserve"> Thus, it is well established that relative concentrations of pro</w:t>
      </w:r>
      <w:r w:rsidR="0059355D" w:rsidRPr="007C0ACA">
        <w:t>-</w:t>
      </w:r>
      <w:r w:rsidR="00820B0B" w:rsidRPr="007C0ACA">
        <w:t xml:space="preserve"> and anti-apoptotic proteins are a necessary condition that determines cell commitment to undergo apoptosis. Thus, under normal conditions in healthy cells, pro-survival Bcl-2 proteins sequester pro-apoptotic effectors as well as BH3-only proteins, preventing apoptosis. However, upon a cytotoxic stimulus, the overwhelming number of BH3-only proteins </w:t>
      </w:r>
      <w:r w:rsidR="00820B0B" w:rsidRPr="007C0ACA">
        <w:lastRenderedPageBreak/>
        <w:t>produced activate pro-apoptotic effectors either by direct binding or through the liberation of restrained pro-apoptotic effectors by binding to pro-survival Bcl-2 proteins with t</w:t>
      </w:r>
      <w:r w:rsidR="0059355D" w:rsidRPr="007C0ACA">
        <w:t xml:space="preserve">he subsequent MOMP induction </w:t>
      </w:r>
      <w:r w:rsidR="00820B0B" w:rsidRPr="007C0ACA">
        <w:t>result</w:t>
      </w:r>
      <w:r w:rsidR="0059355D" w:rsidRPr="007C0ACA">
        <w:t>ing</w:t>
      </w:r>
      <w:r w:rsidR="00820B0B" w:rsidRPr="007C0ACA">
        <w:t xml:space="preserve"> in apoptosis.</w:t>
      </w:r>
      <w:r w:rsidR="00820B0B" w:rsidRPr="007C0ACA">
        <w:rPr>
          <w:vertAlign w:val="superscript"/>
        </w:rPr>
        <w:fldChar w:fldCharType="begin" w:fldLock="1"/>
      </w:r>
      <w:r w:rsidR="007A3EA2" w:rsidRPr="007C0ACA">
        <w:rPr>
          <w:vertAlign w:val="superscript"/>
        </w:rPr>
        <w:instrText>ADDIN CSL_CITATION {"citationItems":[{"id":"ITEM-1","itemData":{"DOI":"10.1016/j.molcel.2010.01.025","abstract":"B cell CLL/lymphoma-2 (BCL-2) and its relatives comprise the BCL-2 family of proteins, which were originally characterized with respect to their roles in controlling outer mitochondrial membrane integrity and apoptosis. Current observations expand BCL-2 family function to include numerous cellular pathways. Here we will discuss the mechanisms and functions of the BCL-2 family in the context of these pathways, highlighting the complex integration and regulation of the BCL-2 family in cell fate decisions.","author":[{"dropping-particle":"","family":"Chipuk","given":"Jerry E","non-dropping-particle":"","parse-names":false,"suffix":""},{"dropping-particle":"","family":"Moldoveanu","given":"Tudor","non-dropping-particle":"","parse-names":false,"suffix":""},{"dropping-particle":"","family":"Llambi","given":"Fabien","non-dropping-particle":"","parse-names":false,"suffix":""},{"dropping-particle":"","family":"Parsons","given":"Melissa J","non-dropping-particle":"","parse-names":false,"suffix":""},{"dropping-particle":"","family":"Green","given":"Douglas R","non-dropping-particle":"","parse-names":false,"suffix":""}],"id":"ITEM-1","issue":"3","issued":{"date-parts":[["2011"]]},"page":"299-310","title":"The BCL-2 Family Reunion A Death in the Family","type":"article-journal","volume":"37"},"uris":["http://www.mendeley.com/documents/?uuid=2f2433ad-141a-4c45-a22f-4b80f026f8dd"]},{"id":"ITEM-2","itemData":{"DOI":"10.1038/s41580-018-0089-8","ISSN":"14710080","abstract":"The loss of vital cells within healthy tissues contributes to the development, progression and treatment outcomes of many human disorders, including neurological and infectious diseases as well as environmental and medical toxicities. Conversely, the abnormal survival and accumulation of damaged or superfluous cells drive prominent human pathologies such as cancers and autoimmune diseases. Apoptosis is an evolutionarily conserved cell death pathway that is responsible for the programmed culling of cells during normal eukaryotic development and maintenance of organismal homeostasis. This pathway is controlled by the BCL-2 family of proteins, which contains both pro-apoptotic and pro-survival members that balance the decision between cellular life and death. Recent insights into the dynamic interactions between BCL-2 family proteins and how they control apoptotic cell death in healthy and diseased cells have uncovered novel opportunities for therapeutic intervention. Importantly, the development of both positive and negative small-molecule modulators of apoptosis is now enabling researchers to translate the discoveries that have been made in the laboratory into clinical practice to positively impact human health.","author":[{"dropping-particle":"","family":"Singh","given":"Rumani","non-dropping-particle":"","parse-names":false,"suffix":""},{"dropping-particle":"","family":"Letai","given":"Anthony","non-dropping-particle":"","parse-names":false,"suffix":""},{"dropping-particle":"","family":"Sarosiek","given":"Kristopher","non-dropping-particle":"","parse-names":false,"suffix":""}],"container-title":"Nature Reviews Molecular Cell Biology","id":"ITEM-2","issue":"3","issued":{"date-parts":[["2019"]]},"page":"175-193","publisher":"Springer US","title":"Regulation of apoptosis in health and disease: the balancing act of BCL-2 family proteins","type":"article-journal","volume":"20"},"uris":["http://www.mendeley.com/documents/?uuid=054ca9f2-e961-46c9-923c-6efb01d1236e"]}],"mendeley":{"formattedCitation":"(9,10)","manualFormatting":"9,10","plainTextFormattedCitation":"(9,10)","previouslyFormattedCitation":"(9,10)"},"properties":{"noteIndex":0},"schema":"https://github.com/citation-style-language/schema/raw/master/csl-citation.json"}</w:instrText>
      </w:r>
      <w:r w:rsidR="00820B0B" w:rsidRPr="007C0ACA">
        <w:rPr>
          <w:vertAlign w:val="superscript"/>
        </w:rPr>
        <w:fldChar w:fldCharType="separate"/>
      </w:r>
      <w:r w:rsidR="00820B0B" w:rsidRPr="007C0ACA">
        <w:rPr>
          <w:noProof/>
          <w:vertAlign w:val="superscript"/>
        </w:rPr>
        <w:t>9,10</w:t>
      </w:r>
      <w:r w:rsidR="00820B0B" w:rsidRPr="007C0ACA">
        <w:rPr>
          <w:vertAlign w:val="superscript"/>
        </w:rPr>
        <w:fldChar w:fldCharType="end"/>
      </w:r>
      <w:r w:rsidR="00820B0B" w:rsidRPr="007C0ACA">
        <w:t xml:space="preserve"> However, the variable affinities exhibited by the diverse members of family for each other and their modulation when proteins are embedded in a membrane are also relevant.</w:t>
      </w:r>
      <w:r w:rsidR="00820B0B" w:rsidRPr="007C0ACA">
        <w:rPr>
          <w:vertAlign w:val="superscript"/>
        </w:rPr>
        <w:fldChar w:fldCharType="begin" w:fldLock="1"/>
      </w:r>
      <w:r w:rsidR="007A3EA2" w:rsidRPr="007C0ACA">
        <w:rPr>
          <w:vertAlign w:val="superscript"/>
        </w:rPr>
        <w:instrText>ADDIN CSL_CITATION {"citationItems":[{"id":"ITEM-1","itemData":{"DOI":"10.1038/s41580-018-0089-8","ISSN":"14710080","abstract":"The loss of vital cells within healthy tissues contributes to the development, progression and treatment outcomes of many human disorders, including neurological and infectious diseases as well as environmental and medical toxicities. Conversely, the abnormal survival and accumulation of damaged or superfluous cells drive prominent human pathologies such as cancers and autoimmune diseases. Apoptosis is an evolutionarily conserved cell death pathway that is responsible for the programmed culling of cells during normal eukaryotic development and maintenance of organismal homeostasis. This pathway is controlled by the BCL-2 family of proteins, which contains both pro-apoptotic and pro-survival members that balance the decision between cellular life and death. Recent insights into the dynamic interactions between BCL-2 family proteins and how they control apoptotic cell death in healthy and diseased cells have uncovered novel opportunities for therapeutic intervention. Importantly, the development of both positive and negative small-molecule modulators of apoptosis is now enabling researchers to translate the discoveries that have been made in the laboratory into clinical practice to positively impact human health.","author":[{"dropping-particle":"","family":"Singh","given":"Rumani","non-dropping-particle":"","parse-names":false,"suffix":""},{"dropping-particle":"","family":"Letai","given":"Anthony","non-dropping-particle":"","parse-names":false,"suffix":""},{"dropping-particle":"","family":"Sarosiek","given":"Kristopher","non-dropping-particle":"","parse-names":false,"suffix":""}],"container-title":"Nature Reviews Molecular Cell Biology","id":"ITEM-1","issue":"3","issued":{"date-parts":[["2019"]]},"page":"175-193","publisher":"Springer US","title":"Regulation of apoptosis in health and disease: the balancing act of BCL-2 family proteins","type":"article-journal","volume":"20"},"uris":["http://www.mendeley.com/documents/?uuid=054ca9f2-e961-46c9-923c-6efb01d1236e"]}],"mendeley":{"formattedCitation":"(10)","manualFormatting":"10","plainTextFormattedCitation":"(10)","previouslyFormattedCitation":"(10)"},"properties":{"noteIndex":0},"schema":"https://github.com/citation-style-language/schema/raw/master/csl-citation.json"}</w:instrText>
      </w:r>
      <w:r w:rsidR="00820B0B" w:rsidRPr="007C0ACA">
        <w:rPr>
          <w:vertAlign w:val="superscript"/>
        </w:rPr>
        <w:fldChar w:fldCharType="separate"/>
      </w:r>
      <w:r w:rsidR="00820B0B" w:rsidRPr="007C0ACA">
        <w:rPr>
          <w:noProof/>
          <w:vertAlign w:val="superscript"/>
        </w:rPr>
        <w:t>10</w:t>
      </w:r>
      <w:r w:rsidR="00820B0B" w:rsidRPr="007C0ACA">
        <w:rPr>
          <w:vertAlign w:val="superscript"/>
        </w:rPr>
        <w:fldChar w:fldCharType="end"/>
      </w:r>
    </w:p>
    <w:p w14:paraId="7A5CBCAE" w14:textId="372FAE87" w:rsidR="00820B0B" w:rsidRPr="007C0ACA" w:rsidRDefault="00820B0B" w:rsidP="00B87EFB">
      <w:pPr>
        <w:ind w:firstLine="720"/>
        <w:jc w:val="both"/>
      </w:pPr>
      <w:r w:rsidRPr="007C0ACA">
        <w:t>In healthy cells, the pro-apoptotic effectors Bak and Bax are shuttled between the mitochondria outer membrane and the cytosol at different rates.</w:t>
      </w:r>
      <w:r w:rsidRPr="007C0ACA">
        <w:rPr>
          <w:vertAlign w:val="superscript"/>
        </w:rPr>
        <w:fldChar w:fldCharType="begin" w:fldLock="1"/>
      </w:r>
      <w:r w:rsidR="007A3EA2" w:rsidRPr="007C0ACA">
        <w:rPr>
          <w:vertAlign w:val="superscript"/>
        </w:rPr>
        <w:instrText>ADDIN CSL_CITATION {"citationItems":[{"id":"ITEM-1","itemData":{"DOI":"10.15252/embj.201488806","ISSN":"0261-4189","abstract":"The Bcl-2 proteins Bax and Bak can permeabilize the outer mitochondrial membrane and commit cells to apoptosis. Pro-survival Bcl-2 proteins control Bax by constant retrotranslocation into the cytosol of healthy cells. The stabilization of cytosolic Bax raises the question whether the functionally redundant but largely mitochondrial Bak shares this level of regulation. Here we report that Bak is retrotranslocated from the mitochondria by pro-survival Bcl-2 proteins. Bak is present in the cytosol of human cells and tissues, but low shuttling rates cause predominant mitochondrial Bak localization. Interchanging the membrane anchors of Bax and Bak reverses their subcellular localization compared to the wild-type proteins. Strikingly, the reduction of Bax shuttling to the level of Bak retrotranslocation results in full Bax toxicity even in absence of apoptosis induction. Thus, fast Bax retrotranslocation is required to protect cells from commitment to programmed death.","author":[{"dropping-particle":"","family":"Todt","given":"Franziska","non-dropping-particle":"","parse-names":false,"suffix":""},{"dropping-particle":"","family":"Cakir","given":"Zeynep","non-dropping-particle":"","parse-names":false,"suffix":""},{"dropping-particle":"","family":"Reichenbach","given":"Frank","non-dropping-particle":"","parse-names":false,"suffix":""},{"dropping-particle":"","family":"Emschermann","given":"Frederic","non-dropping-particle":"","parse-names":false,"suffix":""},{"dropping-particle":"","family":"Lauterwasser","given":"Joachim","non-dropping-particle":"","parse-names":false,"suffix":""},{"dropping-particle":"","family":"Kaiser","given":"Andrea","non-dropping-particle":"","parse-names":false,"suffix":""},{"dropping-particle":"","family":"Ichim","given":"Gabriel","non-dropping-particle":"","parse-names":false,"suffix":""},{"dropping-particle":"","family":"Tait","given":"Stephen WG","non-dropping-particle":"","parse-names":false,"suffix":""},{"dropping-particle":"","family":"Frank","given":"Stephan","non-dropping-particle":"","parse-names":false,"suffix":""},{"dropping-particle":"","family":"Langer","given":"Harald F","non-dropping-particle":"","parse-names":false,"suffix":""},{"dropping-particle":"","family":"Edlich","given":"Frank","non-dropping-particle":"","parse-names":false,"suffix":""}],"container-title":"The EMBO Journal","id":"ITEM-1","issue":"1","issued":{"date-parts":[["2015"]]},"page":"67-80","title":"Differential retrotranslocation of mitochondrial Bax and Bak","type":"article-journal","volume":"34"},"uris":["http://www.mendeley.com/documents/?uuid=13a655a8-50c7-4ba5-b952-a8a7b3fcfb2f"]},{"id":"ITEM-2","itemData":{"DOI":"10.1016/j.molcel.2012.12.022","ISSN":"10972765","abstract":"The proapoptotic Bcl-2 protein Bax is predominantly found in the cytosol of nonapoptotic cells and is commonly thought to translocate to mitochondria following an apoptotic stimulus. The current model for Bax activation is that BH3 proteins bind to cytosolic Bax, initiating mitochondrial targeting and outer-membrane permeabilization. Here, we challenge this and show that Bax is constitutively targeted to mitochondria but in nonapoptotic cells is constantly translocated back to the cytosol. Using live-cell spinning-disk confocal imaging with a combination of FLIP, FRAP, and photoactivatable GFP-Bax, we demonstrate that disrupting adhesion-dependent survival signals slows the rate of Bax's dissociation from mitochondria, leading to its accumulation on the outer mitochondrial membrane. The overall accumulation of mitochondrial Bax following loss of survival signaling sensitizes cells to proapoptotic BH3 proteins. Our findings show that Bax is normally in a dynamic equilibrium between cytosol and mitochondria, enabling fluctuations in survival signals to finely adjust apoptotic sensitivity. © 2013 Elsevier Inc.","author":[{"dropping-particle":"","family":"Schellenberg","given":"Barbara","non-dropping-particle":"","parse-names":false,"suffix":""},{"dropping-particle":"","family":"Wang","given":"Pengbo","non-dropping-particle":"","parse-names":false,"suffix":""},{"dropping-particle":"","family":"Keeble","given":"James A.","non-dropping-particle":"","parse-names":false,"suffix":""},{"dropping-particle":"","family":"Rodriguez-Enriquez","given":"Ricardo","non-dropping-particle":"","parse-names":false,"suffix":""},{"dropping-particle":"","family":"Walker","given":"Scott","non-dropping-particle":"","parse-names":false,"suffix":""},{"dropping-particle":"","family":"Owens","given":"Thomas W.","non-dropping-particle":"","parse-names":false,"suffix":""},{"dropping-particle":"","family":"Foster","given":"Fiona","non-dropping-particle":"","parse-names":false,"suffix":""},{"dropping-particle":"","family":"Tanianis-Hughes","given":"Jolanta","non-dropping-particle":"","parse-names":false,"suffix":""},{"dropping-particle":"","family":"Brennan","given":"Keith","non-dropping-particle":"","parse-names":false,"suffix":""},{"dropping-particle":"","family":"Streuli","given":"Charles H.","non-dropping-particle":"","parse-names":false,"suffix":""},{"dropping-particle":"","family":"Gilmore","given":"Andrew P.","non-dropping-particle":"","parse-names":false,"suffix":""}],"container-title":"Molecular Cell","id":"ITEM-2","issue":"5","issued":{"date-parts":[["2013"]]},"page":"959-971","publisher":"Elsevier Inc.","title":"Bax Exists in a Dynamic Equilibrium between the Cytosol and Mitochondria to Control Apoptotic Priming","type":"article-journal","volume":"49"},"uris":["http://www.mendeley.com/documents/?uuid=99a1b572-25a9-4314-b9ee-df0ceee909ae"]}],"mendeley":{"formattedCitation":"(17,18)","manualFormatting":"17,18","plainTextFormattedCitation":"(17,18)","previouslyFormattedCitation":"(17,18)"},"properties":{"noteIndex":0},"schema":"https://github.com/citation-style-language/schema/raw/master/csl-citation.json"}</w:instrText>
      </w:r>
      <w:r w:rsidRPr="007C0ACA">
        <w:rPr>
          <w:vertAlign w:val="superscript"/>
        </w:rPr>
        <w:fldChar w:fldCharType="separate"/>
      </w:r>
      <w:r w:rsidRPr="007C0ACA">
        <w:rPr>
          <w:noProof/>
          <w:vertAlign w:val="superscript"/>
        </w:rPr>
        <w:t>17,18</w:t>
      </w:r>
      <w:r w:rsidRPr="007C0ACA">
        <w:rPr>
          <w:vertAlign w:val="superscript"/>
        </w:rPr>
        <w:fldChar w:fldCharType="end"/>
      </w:r>
      <w:r w:rsidRPr="007C0ACA">
        <w:t xml:space="preserve"> This differential behaviour makes the former to be primarily attached to the mitochondria outer membrane through  its C-terminus (α9), whereas the latter is primarily found in the cytosol, adopting a globular form with its transmembrane domain bound to its hydrophobic groove.</w:t>
      </w:r>
      <w:r w:rsidRPr="007C0ACA">
        <w:fldChar w:fldCharType="begin" w:fldLock="1"/>
      </w:r>
      <w:r w:rsidR="007A3EA2" w:rsidRPr="007C0ACA">
        <w:instrText>ADDIN CSL_CITATION {"citationItems":[{"id":"ITEM-1","itemData":{"DOI":"10.15252/embj.201488806","ISSN":"0261-4189","abstract":"The Bcl-2 proteins Bax and Bak can permeabilize the outer mitochondrial membrane and commit cells to apoptosis. Pro-survival Bcl-2 proteins control Bax by constant retrotranslocation into the cytosol of healthy cells. The stabilization of cytosolic Bax raises the question whether the functionally redundant but largely mitochondrial Bak shares this level of regulation. Here we report that Bak is retrotranslocated from the mitochondria by pro-survival Bcl-2 proteins. Bak is present in the cytosol of human cells and tissues, but low shuttling rates cause predominant mitochondrial Bak localization. Interchanging the membrane anchors of Bax and Bak reverses their subcellular localization compared to the wild-type proteins. Strikingly, the reduction of Bax shuttling to the level of Bak retrotranslocation results in full Bax toxicity even in absence of apoptosis induction. Thus, fast Bax retrotranslocation is required to protect cells from commitment to programmed death.","author":[{"dropping-particle":"","family":"Todt","given":"Franziska","non-dropping-particle":"","parse-names":false,"suffix":""},{"dropping-particle":"","family":"Cakir","given":"Zeynep","non-dropping-particle":"","parse-names":false,"suffix":""},{"dropping-particle":"","family":"Reichenbach","given":"Frank","non-dropping-particle":"","parse-names":false,"suffix":""},{"dropping-particle":"","family":"Emschermann","given":"Frederic","non-dropping-particle":"","parse-names":false,"suffix":""},{"dropping-particle":"","family":"Lauterwasser","given":"Joachim","non-dropping-particle":"","parse-names":false,"suffix":""},{"dropping-particle":"","family":"Kaiser","given":"Andrea","non-dropping-particle":"","parse-names":false,"suffix":""},{"dropping-particle":"","family":"Ichim","given":"Gabriel","non-dropping-particle":"","parse-names":false,"suffix":""},{"dropping-particle":"","family":"Tait","given":"Stephen WG","non-dropping-particle":"","parse-names":false,"suffix":""},{"dropping-particle":"","family":"Frank","given":"Stephan","non-dropping-particle":"","parse-names":false,"suffix":""},{"dropping-particle":"","family":"Langer","given":"Harald F","non-dropping-particle":"","parse-names":false,"suffix":""},{"dropping-particle":"","family":"Edlich","given":"Frank","non-dropping-particle":"","parse-names":false,"suffix":""}],"container-title":"The EMBO Journal","id":"ITEM-1","issue":"1","issued":{"date-parts":[["2015"]]},"page":"67-80","title":"Differential retrotranslocation of mitochondrial Bax and Bak","type":"article-journal","volume":"34"},"uris":["http://www.mendeley.com/documents/?uuid=13a655a8-50c7-4ba5-b952-a8a7b3fcfb2f"]}],"mendeley":{"formattedCitation":"(17)","manualFormatting":"17","plainTextFormattedCitation":"(17)","previouslyFormattedCitation":"(17)"},"properties":{"noteIndex":0},"schema":"https://github.com/citation-style-language/schema/raw/master/csl-citation.json"}</w:instrText>
      </w:r>
      <w:r w:rsidRPr="007C0ACA">
        <w:fldChar w:fldCharType="separate"/>
      </w:r>
      <w:r w:rsidRPr="007C0ACA">
        <w:rPr>
          <w:noProof/>
          <w:vertAlign w:val="superscript"/>
        </w:rPr>
        <w:t>17</w:t>
      </w:r>
      <w:r w:rsidRPr="007C0ACA">
        <w:fldChar w:fldCharType="end"/>
      </w:r>
      <w:r w:rsidRPr="007C0ACA">
        <w:t xml:space="preserve"> Upon cytotoxic stress, Bak and Bax are accumulated and activated at the mitochondrial outer membrane with their subsequent homo-oligomerization that produces MOMP, a crucial event of intrinsic apoptosis. </w:t>
      </w:r>
    </w:p>
    <w:p w14:paraId="7539FAB8" w14:textId="357B251A" w:rsidR="00820B0B" w:rsidRPr="007C0ACA" w:rsidRDefault="00820B0B" w:rsidP="00B87EFB">
      <w:pPr>
        <w:ind w:firstLine="720"/>
        <w:jc w:val="both"/>
      </w:pPr>
      <w:r w:rsidRPr="007C0ACA">
        <w:t>Crystallographic studies show that Bax exhibits two binding sites: the canonical hydrophobic groove defined between helices α2 – α5 and a rear activation site, found between helices α1 and α6 at the opposite surface of the hydrophobic groove.</w:t>
      </w:r>
      <w:r w:rsidRPr="007C0ACA">
        <w:fldChar w:fldCharType="begin" w:fldLock="1"/>
      </w:r>
      <w:r w:rsidR="007A3EA2" w:rsidRPr="007C0ACA">
        <w:instrText>ADDIN CSL_CITATION {"citationItems":[{"id":"ITEM-1","itemData":{"DOI":"10.1038/nature07396.BAX","abstract":"BAX is a pro-apoptotic protein of the BCL-2 family stationed in the cytosol until activated by a diversity of stress stimuli to induce cell death. Anti-apoptotic proteins such as BCL-2 counteract BAX-mediated cell death. Although an interaction site that confers survival functionality has been defined for anti-apoptotic proteins, an activation site has not been identified for BAX, rendering its explicit trigger mechanism unknown. We previously developed Stabilized Alpha-Helix of BCL-2 domains (SAHBs) that directly initiate BAX-mediated mitochondrial apoptosis. Here we demonstrate by NMR analysis that BIM SAHB binds BAX at an interaction site that is distinct from the canonical binding groove characterized for anti-apoptotic proteins. The specificity of the BIM SAHB-BAX interaction is highlighted by point mutagenesis that abrogates functional activity, confirming that BAX activation is initiated at this novel structural location. Thus, we have now defined a BAX interaction site for direct activation, establishing a new target for therapeutic modulation of apoptosis.","author":[{"dropping-particle":"","family":"Walensky","given":"Loren D.","non-dropping-particle":"","parse-names":false,"suffix":""},{"dropping-particle":"","family":"Gavathiotis","given":"Evripidis","non-dropping-particle":"","parse-names":false,"suffix":""},{"dropping-particle":"","family":"Suzuki","given":"Motoshi","non-dropping-particle":"","parse-names":false,"suffix":""},{"dropping-particle":"","family":"Davis","given":"Marguerite L.","non-dropping-particle":"","parse-names":false,"suffix":""},{"dropping-particle":"","family":"Pitter","given":"Kenneth","non-dropping-particle":"","parse-names":false,"suffix":""},{"dropping-particle":"","family":"Bird","given":"Gregory H.","non-dropping-particle":"","parse-names":false,"suffix":""},{"dropping-particle":"","family":"Katz","given":"Samuel G.","non-dropping-particle":"","parse-names":false,"suffix":""},{"dropping-particle":"","family":"Tu","given":"Ho-Chou","non-dropping-particle":"","parse-names":false,"suffix":""},{"dropping-particle":"","family":"Kim","given":"Hyungjin","non-dropping-particle":"","parse-names":false,"suffix":""},{"dropping-particle":"","family":"Cheng","given":"Emily H.-Y.","non-dropping-particle":"","parse-names":false,"suffix":""},{"dropping-particle":"","family":"Tjandra","given":"Nico","non-dropping-particle":"","parse-names":false,"suffix":""}],"container-title":"Nature","id":"ITEM-1","issue":"7216","issued":{"date-parts":[["2008"]]},"page":"1076-1081","title":"BAX Activation is Initiated at a Novel Interaction Site","type":"article-journal","volume":"455"},"uris":["http://www.mendeley.com/documents/?uuid=e0916619-8ab1-41e3-99e7-ad3d8d5d7aff"]}],"mendeley":{"formattedCitation":"(19)","manualFormatting":"19","plainTextFormattedCitation":"(19)","previouslyFormattedCitation":"(19)"},"properties":{"noteIndex":0},"schema":"https://github.com/citation-style-language/schema/raw/master/csl-citation.json"}</w:instrText>
      </w:r>
      <w:r w:rsidRPr="007C0ACA">
        <w:fldChar w:fldCharType="separate"/>
      </w:r>
      <w:r w:rsidRPr="007C0ACA">
        <w:rPr>
          <w:noProof/>
          <w:vertAlign w:val="superscript"/>
        </w:rPr>
        <w:t>19</w:t>
      </w:r>
      <w:r w:rsidRPr="007C0ACA">
        <w:fldChar w:fldCharType="end"/>
      </w:r>
      <w:r w:rsidRPr="007C0ACA">
        <w:t xml:space="preserve"> BH3-only proteins interact with Bax at the rear activation site, promoting the displacement of the loop between helices α1 and α2, which leads to the displacement of its transmembrane domain from the hydrophobic groove, facilitating membrane insertion.</w:t>
      </w:r>
      <w:r w:rsidRPr="007C0ACA">
        <w:rPr>
          <w:vertAlign w:val="superscript"/>
        </w:rPr>
        <w:fldChar w:fldCharType="begin" w:fldLock="1"/>
      </w:r>
      <w:r w:rsidR="007A3EA2" w:rsidRPr="007C0ACA">
        <w:rPr>
          <w:vertAlign w:val="superscript"/>
        </w:rPr>
        <w:instrText>ADDIN CSL_CITATION {"citationItems":[{"id":"ITEM-1","itemData":{"DOI":"10.1038/ncomms7841","ISSN":"20411723","abstract":"During apoptosis, Bak permeabilizes mitochondria after undergoing major conformational changes, including poorly defined N-terminal changes. Here, we characterize those changes using 11 antibodies that were epitope mapped using peptide arrays and mutagenesis. After Bak activation by Bid, epitopes throughout the α 1 helix are exposed indicating complete dissociation of α 1 from α 2 in the core and from α 6-α 8 in the latch. Moreover, disulfide tethering of α 1 to α 2 or α 6 blocks cytochrome c release, suggesting that α 1 dissociation is required for further conformational changes during apoptosis. Assaying epitope exposure when α 1 is tethered shows that Bid triggers α 2 movement, followed by α 1 dissociation. However, α 2 reaches its final position only after α 1 dissociates from the latch. Thus, α 1 dissociation is a key step in unfolding Bak into three major components, the N terminus, the core (α 2-α 5) and the latch (α 6-α 8).","author":[{"dropping-particle":"","family":"Alsop","given":"Amber E.","non-dropping-particle":"","parse-names":false,"suffix":""},{"dropping-particle":"","family":"Fennell","given":"Stephanie C.","non-dropping-particle":"","parse-names":false,"suffix":""},{"dropping-particle":"","family":"Bartolo","given":"Ray C.","non-dropping-particle":"","parse-names":false,"suffix":""},{"dropping-particle":"","family":"Tan","given":"Iris K.L.","non-dropping-particle":"","parse-names":false,"suffix":""},{"dropping-particle":"","family":"Dewson","given":"Grant","non-dropping-particle":"","parse-names":false,"suffix":""},{"dropping-particle":"","family":"Kluck","given":"Ruth M.","non-dropping-particle":"","parse-names":false,"suffix":""}],"container-title":"Nature Communications","id":"ITEM-1","issued":{"date-parts":[["2015"]]},"page":"1-13","publisher":"Nature Publishing Group","title":"Dissociation of Bak α 1 helix from the core and latch domains is required for apoptosis","type":"article-journal","volume":"6"},"uris":["http://www.mendeley.com/documents/?uuid=207069e3-09fb-4f4f-818e-d6f5b83ab277"]},{"id":"ITEM-2","itemData":{"DOI":"10.1073/pnas.1702453114","ISSN":"10916490","abstract":"© 2017, National Academy of Sciences. All rights reserved. BAK and BAX are the essential effectors of apoptosis because without them a cell is resistant to most apoptotic stimuli. BAK and BAX undergo conformation changes to homooligomerize then permeabilize the mitochondrial outer membrane during apoptosis. How BCL-2 homology 3 (BH3)-only proteins bind to activate BAK and BAX is unclear. We report that BH3-only proteins bind inactive full-length BAK at mitochondria and then dissociate following exposure of the BAK BH3 and BH4 domains before BAK homodimerization. Using a functional obstructive labeling approach, we show that activation of BAK involves important interactions of BH3-only proteins with both the canonical hydrophobic binding groove (α2–5) and α6 at the rear of BAK, with interaction at α6 promoting an open groove to receive a BH3-only protein. Once activated, how BAK homodimers multimerize to form the putative apoptotic pore is unknown. Obstructive labeling of BAK beyond the BH3 domain and hydrophobic groove did not inhibit multimerization and mitochondrial damage, indicating that critical protein–protein interfaces in BAK self-association are limited to the α2–5 homodimerization domain.","author":[{"dropping-particle":"","family":"Li","given":"Mark Xiang","non-dropping-particle":"","parse-names":false,"suffix":""},{"dropping-particle":"","family":"Tan","given":"Iris K.L.","non-dropping-particle":"","parse-names":false,"suffix":""},{"dropping-particle":"","family":"Ma","given":"Stephen B.","non-dropping-particle":"","parse-names":false,"suffix":""},{"dropping-particle":"","family":"Hockings","given":"Colin","non-dropping-particle":"","parse-names":false,"suffix":""},{"dropping-particle":"","family":"Kratina","given":"Tobias","non-dropping-particle":"","parse-names":false,"suffix":""},{"dropping-particle":"","family":"Dengler","given":"Michael A.","non-dropping-particle":"","parse-names":false,"suffix":""},{"dropping-particle":"","family":"Alsop","given":"Amber E.","non-dropping-particle":"","parse-names":false,"suffix":""},{"dropping-particle":"","family":"Kluck","given":"Ruth M.","non-dropping-particle":"","parse-names":false,"suffix":""},{"dropping-particle":"","family":"Dewson","given":"Grant","non-dropping-particle":"","parse-names":false,"suffix":""}],"container-title":"Proceedings of the National Academy of Sciences of the United States of America","id":"ITEM-2","issue":"29","issued":{"date-parts":[["2017"]]},"page":"7629-7634","title":"BAK α6 permits activation by BH3-only proteins and homooligomerization via the canonical hydrophobic groove","type":"article-journal","volume":"114"},"uris":["http://www.mendeley.com/documents/?uuid=2c6d1979-71b2-402f-9f45-c48e8f1b08be"]}],"mendeley":{"formattedCitation":"(20,21)","manualFormatting":"20,21","plainTextFormattedCitation":"(20,21)","previouslyFormattedCitation":"(20,21)"},"properties":{"noteIndex":0},"schema":"https://github.com/citation-style-language/schema/raw/master/csl-citation.json"}</w:instrText>
      </w:r>
      <w:r w:rsidRPr="007C0ACA">
        <w:rPr>
          <w:vertAlign w:val="superscript"/>
        </w:rPr>
        <w:fldChar w:fldCharType="separate"/>
      </w:r>
      <w:r w:rsidRPr="007C0ACA">
        <w:rPr>
          <w:noProof/>
          <w:vertAlign w:val="superscript"/>
        </w:rPr>
        <w:t>20,21</w:t>
      </w:r>
      <w:r w:rsidRPr="007C0ACA">
        <w:rPr>
          <w:vertAlign w:val="superscript"/>
        </w:rPr>
        <w:fldChar w:fldCharType="end"/>
      </w:r>
      <w:r w:rsidRPr="007C0ACA">
        <w:t xml:space="preserve"> </w:t>
      </w:r>
      <w:r w:rsidR="007A3EA2" w:rsidRPr="007C0ACA">
        <w:t>On the other hand, as Bak is constitutively inserted in the mitochondrial outer membrane (MOM) through its α9 helix,  the canonical hydrophobic groove was postulated as the only activation site.</w:t>
      </w:r>
      <w:r w:rsidR="007A3EA2" w:rsidRPr="007C0ACA">
        <w:rPr>
          <w:vertAlign w:val="superscript"/>
        </w:rPr>
        <w:fldChar w:fldCharType="begin" w:fldLock="1"/>
      </w:r>
      <w:r w:rsidR="00A24B97" w:rsidRPr="007C0ACA">
        <w:rPr>
          <w:vertAlign w:val="superscript"/>
        </w:rPr>
        <w:instrText>ADDIN CSL_CITATION {"citationItems":[{"id":"ITEM-1","itemData":{"DOI":"10.1083/jcb.201102027","ISSN":"00219525","abstract":"The mechanism by which the proapoptotic Bcl-2 family members Bax and Bak release cytochrome c from mitochondria is incompletely understood. In this paper, we show that activator BH3-only proteins bind tightly but transiently to the Bak hydrophobic BH3-binding groove to induce Bak oligomerization, liposome permeabilization, mitochondrial cytochrome c release, and cell death. Analysis by surface plasmon resonance indicated that the initial binding of BH3-only proteins to Bak occurred with similar kinetics with or without detergent or mitochondrial lipids, but these reagents increase the strength of the Bak-BH3-only protein interaction. Point mutations in Bak and reciprocal mutations in the BH3-only proteins not only confirmed the identity of the interacting residues at the Bak-BH3-only protein interface but also demonstrated specificity of complex formation in vitro and in a cellular context. These observations indicate that transient protein-protein interactions involving the Bak BH3-binding groove initiate Bak oligomerization and activation. © 2011 Dai et al.","author":[{"dropping-particle":"","family":"Dai","given":"Haiming","non-dropping-particle":"","parse-names":false,"suffix":""},{"dropping-particle":"","family":"Smith","given":"Alyson","non-dropping-particle":"","parse-names":false,"suffix":""},{"dropping-particle":"","family":"Meng","given":"X. Wei","non-dropping-particle":"","parse-names":false,"suffix":""},{"dropping-particle":"","family":"Schneider","given":"Paula A.","non-dropping-particle":"","parse-names":false,"suffix":""},{"dropping-particle":"","family":"Pang","given":"Yuan Ping","non-dropping-particle":"","parse-names":false,"suffix":""},{"dropping-particle":"","family":"Kaufmann","given":"Scott H.","non-dropping-particle":"","parse-names":false,"suffix":""}],"container-title":"Journal of Cell Biology","id":"ITEM-1","issue":"1","issued":{"date-parts":[["2011"]]},"page":"39-48","title":"Transient binding of an activator BH3 domain to the Bak BH3-binding groove initiates Bak oligomerization","type":"article-journal","volume":"194"},"uris":["http://www.mendeley.com/documents/?uuid=76ce1811-93c0-4967-98cd-2646eafb7108"]},{"id":"ITEM-2","itemData":{"DOI":"10.1038/ncomms7841","ISSN":"20411723","abstract":"During apoptosis, Bak permeabilizes mitochondria after undergoing major conformational changes, including poorly defined N-terminal changes. Here, we characterize those changes using 11 antibodies that were epitope mapped using peptide arrays and mutagenesis. After Bak activation by Bid, epitopes throughout the α 1 helix are exposed indicating complete dissociation of α 1 from α 2 in the core and from α 6-α 8 in the latch. Moreover, disulfide tethering of α 1 to α 2 or α 6 blocks cytochrome c release, suggesting that α 1 dissociation is required for further conformational changes during apoptosis. Assaying epitope exposure when α 1 is tethered shows that Bid triggers α 2 movement, followed by α 1 dissociation. However, α 2 reaches its final position only after α 1 dissociates from the latch. Thus, α 1 dissociation is a key step in unfolding Bak into three major components, the N terminus, the core (α 2-α 5) and the latch (α 6-α 8).","author":[{"dropping-particle":"","family":"Alsop","given":"Amber E.","non-dropping-particle":"","parse-names":false,"suffix":""},{"dropping-particle":"","family":"Fennell","given":"Stephanie C.","non-dropping-particle":"","parse-names":false,"suffix":""},{"dropping-particle":"","family":"Bartolo","given":"Ray C.","non-dropping-particle":"","parse-names":false,"suffix":""},{"dropping-particle":"","family":"Tan","given":"Iris K.L.","non-dropping-particle":"","parse-names":false,"suffix":""},{"dropping-particle":"","family":"Dewson","given":"Grant","non-dropping-particle":"","parse-names":false,"suffix":""},{"dropping-particle":"","family":"Kluck","given":"Ruth M.","non-dropping-particle":"","parse-names":false,"suffix":""}],"container-title":"Nature Communications","id":"ITEM-2","issued":{"date-parts":[["2015"]]},"page":"1-13","publisher":"Nature Publishing Group","title":"Dissociation of Bak α 1 helix from the core and latch domains is required for apoptosis","type":"article-journal","volume":"6"},"uris":["http://www.mendeley.com/documents/?uuid=207069e3-09fb-4f4f-818e-d6f5b83ab277"]},{"id":"ITEM-3","itemData":{"DOI":"10.1016/j.molcel.2014.07.016","ISSN":"10974164","abstract":"Apoptotic stimuli activate and oligomerize the proapoptotic proteins Bak and Bax, resulting in mitochondrial outer-membrane permeabilization and subsequent cell death. This activation can occur when certain BH3-only proteins interact directly with Bak and Bax. Recently published crystal structures reveal that Bax separates into core and latch domains in response to BH3 peptides. The distinguishing characteristics of BH3 peptides capable of directly activating Bax were also elucidated. Here we identify specific BH3 peptides capable of \"unlatching\" Bak and describe structural insights into Bak activation and oligomerization. Crystal structures and crosslinking experiments demonstrate that Bak undergoes a conformational change similar to that of Bax upon activation. A structure of the Bakcore domain dimer provides a high-resolution image of this key intermediate in the pore-forming oligomer. Our results confirm an analogous mechanism for activation and dimerization of Bak and Bax in response to certain BH3 peptides.","author":[{"dropping-particle":"","family":"Brouwer","given":"Jason M.","non-dropping-particle":"","parse-names":false,"suffix":""},{"dropping-particle":"","family":"Westphal","given":"Dana","non-dropping-particle":"","parse-names":false,"suffix":""},{"dropping-particle":"","family":"Dewson","given":"Grant","non-dropping-particle":"","parse-names":false,"suffix":""},{"dropping-particle":"","family":"Robin","given":"Adeline Y.","non-dropping-particle":"","parse-names":false,"suffix":""},{"dropping-particle":"","family":"Uren","given":"Rachel T.","non-dropping-particle":"","parse-names":false,"suffix":""},{"dropping-particle":"","family":"Bartolo","given":"Ray","non-dropping-particle":"","parse-names":false,"suffix":""},{"dropping-particle":"V.","family":"Thompson","given":"Geoff","non-dropping-particle":"","parse-names":false,"suffix":""},{"dropping-particle":"","family":"Colman","given":"Peter M.","non-dropping-particle":"","parse-names":false,"suffix":""},{"dropping-particle":"","family":"Kluck","given":"Ruth M.","non-dropping-particle":"","parse-names":false,"suffix":""},{"dropping-particle":"","family":"Czabotar","given":"Peter E.","non-dropping-particle":"","parse-names":false,"suffix":""}],"container-title":"Molecular Cell","id":"ITEM-3","issue":"6","issued":{"date-parts":[["2014"]]},"page":"938-946","publisher":"Elsevier Inc.","title":"Bak Core and Latch Domains Separate during Activation, and Freed Core Domains Form Symmetric Homodimers","type":"article-journal","volume":"55"},"uris":["http://www.mendeley.com/documents/?uuid=05741cb0-799b-4dad-b2bc-4b1b0ce745d7"]}],"mendeley":{"formattedCitation":"(20,22,23)","manualFormatting":"20,22,23","plainTextFormattedCitation":"(20,22,23)","previouslyFormattedCitation":"(20,22,23)"},"properties":{"noteIndex":0},"schema":"https://github.com/citation-style-language/schema/raw/master/csl-citation.json"}</w:instrText>
      </w:r>
      <w:r w:rsidR="007A3EA2" w:rsidRPr="007C0ACA">
        <w:rPr>
          <w:vertAlign w:val="superscript"/>
        </w:rPr>
        <w:fldChar w:fldCharType="separate"/>
      </w:r>
      <w:r w:rsidR="007A3EA2" w:rsidRPr="007C0ACA">
        <w:rPr>
          <w:noProof/>
          <w:vertAlign w:val="superscript"/>
        </w:rPr>
        <w:t>20,22,23</w:t>
      </w:r>
      <w:r w:rsidR="007A3EA2" w:rsidRPr="007C0ACA">
        <w:rPr>
          <w:vertAlign w:val="superscript"/>
        </w:rPr>
        <w:fldChar w:fldCharType="end"/>
      </w:r>
      <w:r w:rsidR="007A3EA2" w:rsidRPr="007C0ACA">
        <w:t xml:space="preserve"> </w:t>
      </w:r>
      <w:r w:rsidR="00A24B97" w:rsidRPr="007C0ACA">
        <w:t>However, it has</w:t>
      </w:r>
      <w:r w:rsidR="00C15CCC" w:rsidRPr="007C0ACA">
        <w:t xml:space="preserve"> recently</w:t>
      </w:r>
      <w:r w:rsidR="00A24B97" w:rsidRPr="007C0ACA">
        <w:t xml:space="preserve"> been identified another activation site in the loop between α1 and α2 triggered by antibodies.</w:t>
      </w:r>
      <w:r w:rsidR="00A24B97" w:rsidRPr="007C0ACA">
        <w:rPr>
          <w:vertAlign w:val="superscript"/>
        </w:rPr>
        <w:fldChar w:fldCharType="begin" w:fldLock="1"/>
      </w:r>
      <w:r w:rsidR="00A24B97" w:rsidRPr="007C0ACA">
        <w:rPr>
          <w:vertAlign w:val="superscript"/>
        </w:rPr>
        <w:instrText>ADDIN CSL_CITATION {"citationItems":[{"id":"ITEM-1","itemData":{"DOI":"10.1038/ncomms11734","ISSN":"20411723","abstract":"During apoptosis, Bak and Bax are activated by BH3-only proteins binding to the α2-α5 hydrophobic groove; Bax is also activated via a rear pocket. Here we report that antibodies can directly activate Bak and mitochondrial Bax by binding to the α1-α2 loop. A monoclonal antibody (clone 7D10) binds close to α1 in non-activated Bak to induce conformational change, oligomerization, and cytochrome c release. Anti-FLAG antibodies also activate Bak containing a FLAG epitope close to α1. An antibody (clone 3C10) to the Bax α1-α2 loop activates mitochondrial Bax, but blocks translocation of cytosolic Bax. Tethers within Bak show that 7D10 binding directly extricates α1; a structural model of the 7D10 Fab bound to Bak reveals the formation of a cavity under α1. Our identification of the α1-α2 loop as an activation site in Bak paves the way to develop intrabodies or small molecules that directly and selectively regulate these proteins.","author":[{"dropping-particle":"","family":"Iyer","given":"Sweta","non-dropping-particle":"","parse-names":false,"suffix":""},{"dropping-particle":"","family":"Anwari","given":"Khatira","non-dropping-particle":"","parse-names":false,"suffix":""},{"dropping-particle":"","family":"Alsop","given":"Amber E.","non-dropping-particle":"","parse-names":false,"suffix":""},{"dropping-particle":"","family":"Yuen","given":"Wai Shan","non-dropping-particle":"","parse-names":false,"suffix":""},{"dropping-particle":"","family":"Huang","given":"David C.S.","non-dropping-particle":"","parse-names":false,"suffix":""},{"dropping-particle":"","family":"Carroll","given":"John","non-dropping-particle":"","parse-names":false,"suffix":""},{"dropping-particle":"","family":"Smith","given":"Nicholas A.","non-dropping-particle":"","parse-names":false,"suffix":""},{"dropping-particle":"","family":"Smith","given":"Brian J.","non-dropping-particle":"","parse-names":false,"suffix":""},{"dropping-particle":"","family":"Dewson","given":"Grant","non-dropping-particle":"","parse-names":false,"suffix":""},{"dropping-particle":"","family":"Kluck","given":"Ruth M.","non-dropping-particle":"","parse-names":false,"suffix":""}],"container-title":"Nature Communications","id":"ITEM-1","issue":"May","issued":{"date-parts":[["2016"]]},"page":"1-10","publisher":"Nature Publishing Group","title":"Identification of an activation site in Bak and mitochondrial Bax triggered by antibodies","type":"article-journal","volume":"7"},"uris":["http://www.mendeley.com/documents/?uuid=9f248204-a285-4a19-94b8-e77f1d441a8e"]}],"mendeley":{"formattedCitation":"(24)","manualFormatting":"24","plainTextFormattedCitation":"(24)","previouslyFormattedCitation":"(24)"},"properties":{"noteIndex":0},"schema":"https://github.com/citation-style-language/schema/raw/master/csl-citation.json"}</w:instrText>
      </w:r>
      <w:r w:rsidR="00A24B97" w:rsidRPr="007C0ACA">
        <w:rPr>
          <w:vertAlign w:val="superscript"/>
        </w:rPr>
        <w:fldChar w:fldCharType="separate"/>
      </w:r>
      <w:r w:rsidR="00A24B97" w:rsidRPr="007C0ACA">
        <w:rPr>
          <w:noProof/>
          <w:vertAlign w:val="superscript"/>
        </w:rPr>
        <w:t>24</w:t>
      </w:r>
      <w:r w:rsidR="00A24B97" w:rsidRPr="007C0ACA">
        <w:rPr>
          <w:vertAlign w:val="superscript"/>
        </w:rPr>
        <w:fldChar w:fldCharType="end"/>
      </w:r>
      <w:r w:rsidR="00A24B97" w:rsidRPr="007C0ACA">
        <w:t xml:space="preserve"> </w:t>
      </w:r>
      <w:r w:rsidRPr="007C0ACA">
        <w:t xml:space="preserve">Despite this apparent differential behaviour, there is enough experimental evidence to support that they </w:t>
      </w:r>
      <w:r w:rsidR="0059355D" w:rsidRPr="007C0ACA">
        <w:t>exhibit</w:t>
      </w:r>
      <w:r w:rsidRPr="007C0ACA">
        <w:t xml:space="preserve"> conserved activation mechanisms.</w:t>
      </w:r>
      <w:r w:rsidRPr="007C0ACA">
        <w:fldChar w:fldCharType="begin" w:fldLock="1"/>
      </w:r>
      <w:r w:rsidR="00C15CCC" w:rsidRPr="007C0ACA">
        <w:instrText>ADDIN CSL_CITATION {"citationItems":[{"id":"ITEM-1","itemData":{"DOI":"10.1038/nsmb.2563","ISSN":"1545-9993","author":[{"dropping-particle":"","family":"Moldoveanu","given":"Tudor","non-dropping-particle":"","parse-names":false,"suffix":""},{"dropping-particle":"","family":"Grace","given":"Christy R","non-dropping-particle":"","parse-names":false,"suffix":""},{"dropping-particle":"","family":"Llambi","given":"Fabien","non-dropping-particle":"","parse-names":false,"suffix":""},{"dropping-particle":"","family":"Nourse","given":"Amanda","non-dropping-particle":"","parse-names":false,"suffix":""},{"dropping-particle":"","family":"Fitzgerald","given":"Patrick","non-dropping-particle":"","parse-names":false,"suffix":""},{"dropping-particle":"","family":"Gehring","given":"Kalle","non-dropping-particle":"","parse-names":false,"suffix":""},{"dropping-particle":"","family":"Kriwacki","given":"Richard W","non-dropping-particle":"","parse-names":false,"suffix":""},{"dropping-particle":"","family":"Green","given":"Douglas R","non-dropping-particle":"","parse-names":false,"suffix":""}],"container-title":"Nature Publishing Group","id":"ITEM-1","issue":"5","issued":{"date-parts":[["2013"]]},"page":"589-597","publisher":"Nature Publishing Group","title":"BID-induced structural changes in BAK promote apoptosis","type":"article-journal","volume":"20"},"uris":["http://www.mendeley.com/documents/?uuid=ab53d874-5d54-461a-b359-dc20b95abcb2"]},{"id":"ITEM-2","itemData":{"DOI":"10.1016/j.bbrc.2017.06.190","ISSN":"10902104","abstract":"Proteins of the B-cell lymphoma-2 (BCL-2) family control the intrinsic apoptosis pathway. The pro-apoptotic BCL-2 proteins BAX and BAK can commit a cell to its programmed death by permeabilizing the outer mitochondrial membrane (OMM) and subsequent initiation of the caspase cascade. Therefore, the activities of BAX and BAK are precisely controlled by a complex network of proteins inside and outside the BCL-2 family. Cells survive by constant control of dynamic translocation and retrotranslocation of BAX and BAK to the mitochondria and back into the cytosol. Recent insights into BAX/BAK shuttling, BCL-2 protein interactions, the role of BH3-only proteins in apoptosis signaling and the active BAX complex set the stage for the development of novel strategies in cancer therapy and the analysis of cellular predisposition to apoptosis.","author":[{"dropping-particle":"","family":"Edlich","given":"Frank","non-dropping-particle":"","parse-names":false,"suffix":""}],"container-title":"Biochemical and Biophysical Research Communications","id":"ITEM-2","issue":"1","issued":{"date-parts":[["2018"]]},"page":"26-34","publisher":"Elsevier","title":"BCL-2 proteins and apoptosis: Recent insights and unknowns","type":"article-journal","volume":"500"},"uris":["http://www.mendeley.com/documents/?uuid=50a4e63a-c565-4a76-b878-6b7f77bd0edb"]}],"mendeley":{"formattedCitation":"(25,26)","manualFormatting":"25,26","plainTextFormattedCitation":"(25,26)","previouslyFormattedCitation":"(25,26)"},"properties":{"noteIndex":0},"schema":"https://github.com/citation-style-language/schema/raw/master/csl-citation.json"}</w:instrText>
      </w:r>
      <w:r w:rsidRPr="007C0ACA">
        <w:fldChar w:fldCharType="separate"/>
      </w:r>
      <w:r w:rsidRPr="007C0ACA">
        <w:rPr>
          <w:noProof/>
          <w:vertAlign w:val="superscript"/>
        </w:rPr>
        <w:t>2</w:t>
      </w:r>
      <w:r w:rsidR="00C15CCC" w:rsidRPr="007C0ACA">
        <w:rPr>
          <w:noProof/>
          <w:vertAlign w:val="superscript"/>
        </w:rPr>
        <w:t>5</w:t>
      </w:r>
      <w:r w:rsidRPr="007C0ACA">
        <w:rPr>
          <w:noProof/>
          <w:vertAlign w:val="superscript"/>
        </w:rPr>
        <w:t>,2</w:t>
      </w:r>
      <w:r w:rsidR="00C15CCC" w:rsidRPr="007C0ACA">
        <w:rPr>
          <w:noProof/>
          <w:vertAlign w:val="superscript"/>
        </w:rPr>
        <w:t>6</w:t>
      </w:r>
      <w:r w:rsidRPr="007C0ACA">
        <w:fldChar w:fldCharType="end"/>
      </w:r>
      <w:r w:rsidRPr="007C0ACA">
        <w:t xml:space="preserve"> </w:t>
      </w:r>
      <w:r w:rsidR="00C15CCC" w:rsidRPr="007C0ACA">
        <w:t>Thus, the activation mechanism of these pro-apoptotic proteins once they are inserted in the MOM consists in the t</w:t>
      </w:r>
      <w:r w:rsidRPr="007C0ACA">
        <w:t>ransient binding of</w:t>
      </w:r>
      <w:r w:rsidR="0059355D" w:rsidRPr="007C0ACA">
        <w:t xml:space="preserve"> BH3-only proteins like Bim or </w:t>
      </w:r>
      <w:r w:rsidRPr="007C0ACA">
        <w:t xml:space="preserve">Bid </w:t>
      </w:r>
      <w:r w:rsidR="00C15CCC" w:rsidRPr="007C0ACA">
        <w:t xml:space="preserve">producing </w:t>
      </w:r>
      <w:r w:rsidRPr="007C0ACA">
        <w:t xml:space="preserve">the dissociation of α1 from the α6 helix, </w:t>
      </w:r>
      <w:r w:rsidR="00DF37AB" w:rsidRPr="007C0ACA">
        <w:t xml:space="preserve">and </w:t>
      </w:r>
      <w:r w:rsidRPr="007C0ACA">
        <w:t xml:space="preserve">allowing the separation of the </w:t>
      </w:r>
      <w:r w:rsidRPr="007C0ACA">
        <w:rPr>
          <w:i/>
        </w:rPr>
        <w:t>latch</w:t>
      </w:r>
      <w:r w:rsidRPr="007C0ACA">
        <w:t xml:space="preserve"> domain (helices α6-α8) from the </w:t>
      </w:r>
      <w:r w:rsidRPr="007C0ACA">
        <w:rPr>
          <w:i/>
        </w:rPr>
        <w:t>core</w:t>
      </w:r>
      <w:r w:rsidRPr="007C0ACA">
        <w:t xml:space="preserve"> domain (helices α2-α5). At this time, the affinity of the BH3-only protein decreases and Bak/Bax exhibits fully exposed its BH3-</w:t>
      </w:r>
      <w:r w:rsidR="00C15CCC" w:rsidRPr="007C0ACA">
        <w:t xml:space="preserve">domain </w:t>
      </w:r>
      <w:r w:rsidRPr="007C0ACA">
        <w:t xml:space="preserve">to bind another Bak/Bax protein to produce symmetric dimers. These dimers associate via α6:α6 interface and further dimer-by-dimer homo-oligomers </w:t>
      </w:r>
      <w:r w:rsidR="0059355D" w:rsidRPr="007C0ACA">
        <w:t>that</w:t>
      </w:r>
      <w:r w:rsidRPr="007C0ACA">
        <w:t xml:space="preserve"> form macropores on the membrane triggering apoptosis.</w:t>
      </w:r>
      <w:r w:rsidRPr="007C0ACA">
        <w:fldChar w:fldCharType="begin" w:fldLock="1"/>
      </w:r>
      <w:r w:rsidR="00C15CCC" w:rsidRPr="007C0ACA">
        <w:instrText>ADDIN CSL_CITATION {"citationItems":[{"id":"ITEM-1","itemData":{"DOI":"10.1073/pnas.1214313110/-/DCSupplemental.www.pnas.org/cgi/doi/10.1073/pnas.1214313110","author":[{"dropping-particle":"","family":"Leshchiner","given":"Elizaveta S","non-dropping-particle":"","parse-names":false,"suffix":""},{"dropping-particle":"","family":"Braun","given":"Craig R","non-dropping-particle":"","parse-names":false,"suffix":""},{"dropping-particle":"","family":"Bird","given":"Gregory H","non-dropping-particle":"","parse-names":false,"suffix":""},{"dropping-particle":"","family":"Walensky","given":"Loren D","non-dropping-particle":"","parse-names":false,"suffix":""}],"id":"ITEM-1","issue":"11","issued":{"date-parts":[["2013"]]},"title":"Direct activation of full-length proapoptotic BAK","type":"article-journal","volume":"110"},"uris":["http://www.mendeley.com/documents/?uuid=e3c59ce8-2119-43c0-90c5-74973e340252"]}],"mendeley":{"formattedCitation":"(27)","manualFormatting":"27","plainTextFormattedCitation":"(27)","previouslyFormattedCitation":"(27)"},"properties":{"noteIndex":0},"schema":"https://github.com/citation-style-language/schema/raw/master/csl-citation.json"}</w:instrText>
      </w:r>
      <w:r w:rsidRPr="007C0ACA">
        <w:fldChar w:fldCharType="separate"/>
      </w:r>
      <w:r w:rsidRPr="007C0ACA">
        <w:rPr>
          <w:noProof/>
          <w:vertAlign w:val="superscript"/>
        </w:rPr>
        <w:t>2</w:t>
      </w:r>
      <w:r w:rsidR="00C15CCC" w:rsidRPr="007C0ACA">
        <w:rPr>
          <w:noProof/>
          <w:vertAlign w:val="superscript"/>
        </w:rPr>
        <w:t>7</w:t>
      </w:r>
      <w:r w:rsidRPr="007C0ACA">
        <w:fldChar w:fldCharType="end"/>
      </w:r>
      <w:r w:rsidRPr="007C0ACA">
        <w:t xml:space="preserve"> </w:t>
      </w:r>
    </w:p>
    <w:p w14:paraId="4C544F51" w14:textId="2F5490DA" w:rsidR="00820B0B" w:rsidRPr="007C0ACA" w:rsidRDefault="00820B0B" w:rsidP="00B87EFB">
      <w:pPr>
        <w:ind w:firstLine="720"/>
        <w:jc w:val="both"/>
      </w:pPr>
      <w:r w:rsidRPr="007C0ACA">
        <w:t xml:space="preserve">The aim of </w:t>
      </w:r>
      <w:r w:rsidR="00505B04" w:rsidRPr="007C0ACA">
        <w:t>the present</w:t>
      </w:r>
      <w:r w:rsidRPr="007C0ACA">
        <w:t xml:space="preserve"> work is to analyse the structure of </w:t>
      </w:r>
      <w:r w:rsidR="000B2C12" w:rsidRPr="007C0ACA">
        <w:t xml:space="preserve">the </w:t>
      </w:r>
      <w:r w:rsidRPr="007C0ACA">
        <w:t xml:space="preserve">pro-apoptotic Bak </w:t>
      </w:r>
      <w:r w:rsidR="001B68C9" w:rsidRPr="007C0ACA">
        <w:t xml:space="preserve">in order </w:t>
      </w:r>
      <w:r w:rsidR="000B2C12" w:rsidRPr="007C0ACA">
        <w:t>to characterise</w:t>
      </w:r>
      <w:r w:rsidRPr="007C0ACA">
        <w:t xml:space="preserve"> the molecular determinants involved in </w:t>
      </w:r>
      <w:r w:rsidR="004E2774" w:rsidRPr="007C0ACA">
        <w:t>binding and activation, d</w:t>
      </w:r>
      <w:r w:rsidR="001B68C9" w:rsidRPr="007C0ACA">
        <w:t xml:space="preserve">educed </w:t>
      </w:r>
      <w:r w:rsidR="000B2C12" w:rsidRPr="007C0ACA">
        <w:t xml:space="preserve">from the </w:t>
      </w:r>
      <w:r w:rsidR="001B68C9" w:rsidRPr="007C0ACA">
        <w:t>study</w:t>
      </w:r>
      <w:r w:rsidR="000B2C12" w:rsidRPr="007C0ACA">
        <w:t xml:space="preserve"> of the dynamical behaviour of </w:t>
      </w:r>
      <w:r w:rsidR="00121B0D" w:rsidRPr="007C0ACA">
        <w:t xml:space="preserve">diverse </w:t>
      </w:r>
      <w:r w:rsidR="000B2C12" w:rsidRPr="007C0ACA">
        <w:t xml:space="preserve">complexes with </w:t>
      </w:r>
      <w:r w:rsidR="00121B0D" w:rsidRPr="007C0ACA">
        <w:t>different</w:t>
      </w:r>
      <w:r w:rsidR="000B2C12" w:rsidRPr="007C0ACA">
        <w:t xml:space="preserve"> BH3 peptides </w:t>
      </w:r>
      <w:r w:rsidRPr="007C0ACA">
        <w:t xml:space="preserve">such as Bid (EDIIRNIARHLAQVGDSMDRSI) or Bim (DMRPEIWIAQELRRIGDEFNAYYARR). </w:t>
      </w:r>
      <w:r w:rsidR="006339AE" w:rsidRPr="007C0ACA">
        <w:t>We also analyse t</w:t>
      </w:r>
      <w:r w:rsidR="000B7FD8" w:rsidRPr="007C0ACA">
        <w:t xml:space="preserve">he molecular determinants </w:t>
      </w:r>
      <w:r w:rsidRPr="007C0ACA">
        <w:t>of a recently disclosed Bim analogue</w:t>
      </w:r>
      <w:r w:rsidR="003D7FBA" w:rsidRPr="007C0ACA">
        <w:t xml:space="preserve"> </w:t>
      </w:r>
      <w:r w:rsidRPr="007C0ACA">
        <w:t xml:space="preserve">Bim(h3Pc) (DMRPEIWIAQELRRXGDEFNAYYARR, where X = </w:t>
      </w:r>
      <w:r w:rsidR="00C83B8A" w:rsidRPr="007C0ACA">
        <w:t>amino</w:t>
      </w:r>
      <w:r w:rsidRPr="007C0ACA">
        <w:t>suberic acid)</w:t>
      </w:r>
      <w:r w:rsidRPr="007C0ACA">
        <w:rPr>
          <w:vertAlign w:val="superscript"/>
        </w:rPr>
        <w:fldChar w:fldCharType="begin" w:fldLock="1"/>
      </w:r>
      <w:r w:rsidR="00C15CCC" w:rsidRPr="007C0ACA">
        <w:rPr>
          <w:vertAlign w:val="superscript"/>
        </w:rPr>
        <w:instrText>ADDIN CSL_CITATION {"citationItems":[{"id":"ITEM-1","itemData":{"DOI":"10.1016/j.molcel.2017.11.001","ISSN":"1097-2765","author":[{"dropping-particle":"","family":"Brouwer","given":"Jason M","non-dropping-particle":"","parse-names":false,"suffix":""},{"dropping-particle":"","family":"Lan","given":"Ping","non-dropping-particle":"","parse-names":false,"suffix":""},{"dropping-particle":"","family":"Cowan","given":"Angus D","non-dropping-particle":"","parse-names":false,"suffix":""},{"dropping-particle":"","family":"Lessene","given":"Guillaume","non-dropping-particle":"","parse-names":false,"suffix":""},{"dropping-particle":"","family":"Colman","given":"Peter M","non-dropping-particle":"","parse-names":false,"suffix":""},{"dropping-particle":"","family":"Czabotar","given":"Peter E","non-dropping-particle":"","parse-names":false,"suffix":""},{"dropping-particle":"","family":"Brouwer","given":"Jason M","non-dropping-particle":"","parse-names":false,"suffix":""},{"dropping-particle":"","family":"Lan","given":"Ping","non-dropping-particle":"","parse-names":false,"suffix":""},{"dropping-particle":"","family":"Cowan","given":"Angus D","non-dropping-particle":"","parse-names":false,"suffix":""},{"dropping-particle":"","family":"Bernardini","given":"Jonathan P","non-dropping-particle":"","parse-names":false,"suffix":""},{"dropping-particle":"","family":"Birkinshaw","given":"Richard W","non-dropping-particle":"","parse-names":false,"suffix":""}],"container-title":"Molecular Cell","id":"ITEM-1","issue":"4","issued":{"date-parts":[["2017"]]},"page":"659-672.e9","publisher":"Elsevier Inc.","title":"Conversion of Bim-BH3 from Activator to Inhibitor of Bak through Structure-Based Design Article Conversion of Bim-BH3 from Activator to Inhibitor of Bak through Structure-Based Design","type":"article-journal","volume":"68"},"uris":["http://www.mendeley.com/documents/?uuid=0932d33b-0983-4633-9349-85809690a5a1"]}],"mendeley":{"formattedCitation":"(28)","manualFormatting":"28","plainTextFormattedCitation":"(28)","previouslyFormattedCitation":"(28)"},"properties":{"noteIndex":0},"schema":"https://github.com/citation-style-language/schema/raw/master/csl-citation.json"}</w:instrText>
      </w:r>
      <w:r w:rsidRPr="007C0ACA">
        <w:rPr>
          <w:vertAlign w:val="superscript"/>
        </w:rPr>
        <w:fldChar w:fldCharType="separate"/>
      </w:r>
      <w:r w:rsidRPr="007C0ACA">
        <w:rPr>
          <w:noProof/>
          <w:vertAlign w:val="superscript"/>
        </w:rPr>
        <w:t>2</w:t>
      </w:r>
      <w:r w:rsidR="00C15CCC" w:rsidRPr="007C0ACA">
        <w:rPr>
          <w:noProof/>
          <w:vertAlign w:val="superscript"/>
        </w:rPr>
        <w:t>8</w:t>
      </w:r>
      <w:r w:rsidRPr="007C0ACA">
        <w:rPr>
          <w:vertAlign w:val="superscript"/>
        </w:rPr>
        <w:fldChar w:fldCharType="end"/>
      </w:r>
      <w:r w:rsidR="006339AE" w:rsidRPr="007C0ACA">
        <w:t xml:space="preserve"> that acts as Bak inhibitor</w:t>
      </w:r>
      <w:r w:rsidRPr="007C0ACA">
        <w:t xml:space="preserve">, permitting </w:t>
      </w:r>
      <w:r w:rsidR="000B2B6A" w:rsidRPr="007C0ACA">
        <w:t xml:space="preserve">to </w:t>
      </w:r>
      <w:r w:rsidRPr="007C0ACA">
        <w:t xml:space="preserve">evaluate the structural and energetic differences that make it </w:t>
      </w:r>
      <w:r w:rsidR="002C7AEA" w:rsidRPr="007C0ACA">
        <w:t>and inhibitor rather than an activator of</w:t>
      </w:r>
      <w:r w:rsidRPr="007C0ACA">
        <w:t xml:space="preserve"> Bak. </w:t>
      </w:r>
      <w:r w:rsidR="000B2C12" w:rsidRPr="007C0ACA">
        <w:t xml:space="preserve">In addition, a Bid analogue with a higher content of helicogenic residues </w:t>
      </w:r>
      <w:r w:rsidRPr="007C0ACA">
        <w:t>has also been analysed: BidAib</w:t>
      </w:r>
      <w:r w:rsidRPr="007C0ACA">
        <w:rPr>
          <w:vertAlign w:val="subscript"/>
        </w:rPr>
        <w:t>2</w:t>
      </w:r>
      <w:r w:rsidRPr="007C0ACA">
        <w:t xml:space="preserve"> (EDIIRNIARHLA</w:t>
      </w:r>
      <w:r w:rsidR="00C83B8A" w:rsidRPr="007C0ACA">
        <w:t>X</w:t>
      </w:r>
      <w:r w:rsidRPr="007C0ACA">
        <w:t>VGD</w:t>
      </w:r>
      <w:r w:rsidR="00C83B8A" w:rsidRPr="007C0ACA">
        <w:t>X</w:t>
      </w:r>
      <w:r w:rsidRPr="007C0ACA">
        <w:t>MDRSI</w:t>
      </w:r>
      <w:r w:rsidR="00C83B8A" w:rsidRPr="007C0ACA">
        <w:t>, where X = Aib</w:t>
      </w:r>
      <w:r w:rsidR="000B2C12" w:rsidRPr="007C0ACA">
        <w:t>)</w:t>
      </w:r>
      <w:r w:rsidR="007636A6" w:rsidRPr="007C0ACA">
        <w:t>,</w:t>
      </w:r>
      <w:r w:rsidR="000B2C12" w:rsidRPr="007C0ACA">
        <w:t xml:space="preserve"> </w:t>
      </w:r>
      <w:r w:rsidR="007636A6" w:rsidRPr="007C0ACA">
        <w:t>permitting</w:t>
      </w:r>
      <w:r w:rsidR="000B2C12" w:rsidRPr="007C0ACA">
        <w:t xml:space="preserve"> to</w:t>
      </w:r>
      <w:r w:rsidRPr="007C0ACA">
        <w:t xml:space="preserve"> </w:t>
      </w:r>
      <w:r w:rsidR="000B2C12" w:rsidRPr="007C0ACA">
        <w:t>understand</w:t>
      </w:r>
      <w:r w:rsidRPr="007C0ACA">
        <w:t xml:space="preserve"> </w:t>
      </w:r>
      <w:r w:rsidR="00B87EFB" w:rsidRPr="007C0ACA">
        <w:t xml:space="preserve">if </w:t>
      </w:r>
      <w:r w:rsidRPr="007C0ACA">
        <w:t xml:space="preserve">an increased </w:t>
      </w:r>
      <w:r w:rsidR="000B2C12" w:rsidRPr="007C0ACA">
        <w:t xml:space="preserve">tendency </w:t>
      </w:r>
      <w:r w:rsidR="007636A6" w:rsidRPr="007C0ACA">
        <w:t xml:space="preserve">of the peptide to adopt helical structures </w:t>
      </w:r>
      <w:r w:rsidRPr="007C0ACA">
        <w:t>improve</w:t>
      </w:r>
      <w:r w:rsidR="000B2C12" w:rsidRPr="007C0ACA">
        <w:t>s</w:t>
      </w:r>
      <w:r w:rsidRPr="007C0ACA">
        <w:t xml:space="preserve"> </w:t>
      </w:r>
      <w:r w:rsidR="007636A6" w:rsidRPr="007C0ACA">
        <w:t>its</w:t>
      </w:r>
      <w:r w:rsidR="000B2C12" w:rsidRPr="007C0ACA">
        <w:t xml:space="preserve"> </w:t>
      </w:r>
      <w:r w:rsidRPr="007C0ACA">
        <w:t>binding affinity. A non-globular conformation of Bak in complex with Bim</w:t>
      </w:r>
      <w:r w:rsidRPr="007C0ACA">
        <w:rPr>
          <w:vertAlign w:val="superscript"/>
        </w:rPr>
        <w:fldChar w:fldCharType="begin" w:fldLock="1"/>
      </w:r>
      <w:r w:rsidR="00023FA4" w:rsidRPr="007C0ACA">
        <w:rPr>
          <w:vertAlign w:val="superscript"/>
        </w:rPr>
        <w:instrText>ADDIN CSL_CITATION {"citationItems":[{"id":"ITEM-1","itemData":{"DOI":"10.1016/j.molcel.2014.07.016","ISSN":"10974164","abstract":"Apoptotic stimuli activate and oligomerize the proapoptotic proteins Bak and Bax, resulting in mitochondrial outer-membrane permeabilization and subsequent cell death. This activation can occur when certain BH3-only proteins interact directly with Bak and Bax. Recently published crystal structures reveal that Bax separates into core and latch domains in response to BH3 peptides. The distinguishing characteristics of BH3 peptides capable of directly activating Bax were also elucidated. Here we identify specific BH3 peptides capable of \"unlatching\" Bak and describe structural insights into Bak activation and oligomerization. Crystal structures and crosslinking experiments demonstrate that Bak undergoes a conformational change similar to that of Bax upon activation. A structure of the Bakcore domain dimer provides a high-resolution image of this key intermediate in the pore-forming oligomer. Our results confirm an analogous mechanism for activation and dimerization of Bak and Bax in response to certain BH3 peptides.","author":[{"dropping-particle":"","family":"Brouwer","given":"Jason M.","non-dropping-particle":"","parse-names":false,"suffix":""},{"dropping-particle":"","family":"Westphal","given":"Dana","non-dropping-particle":"","parse-names":false,"suffix":""},{"dropping-particle":"","family":"Dewson","given":"Grant","non-dropping-particle":"","parse-names":false,"suffix":""},{"dropping-particle":"","family":"Robin","given":"Adeline Y.","non-dropping-particle":"","parse-names":false,"suffix":""},{"dropping-particle":"","family":"Uren","given":"Rachel T.","non-dropping-particle":"","parse-names":false,"suffix":""},{"dropping-particle":"","family":"Bartolo","given":"Ray","non-dropping-particle":"","parse-names":false,"suffix":""},{"dropping-particle":"V.","family":"Thompson","given":"Geoff","non-dropping-particle":"","parse-names":false,"suffix":""},{"dropping-particle":"","family":"Colman","given":"Peter M.","non-dropping-particle":"","parse-names":false,"suffix":""},{"dropping-particle":"","family":"Kluck","given":"Ruth M.","non-dropping-particle":"","parse-names":false,"suffix":""},{"dropping-particle":"","family":"Czabotar","given":"Peter E.","non-dropping-particle":"","parse-names":false,"suffix":""}],"container-title":"Molecular Cell","id":"ITEM-1","issue":"6","issued":{"date-parts":[["2014"]]},"page":"938-946","publisher":"Elsevier Inc.","title":"Bak Core and Latch Domains Separate during Activation, and Freed Core Domains Form Symmetric Homodimers","type":"article-journal","volume":"55"},"uris":["http://www.mendeley.com/documents/?uuid=05741cb0-799b-4dad-b2bc-4b1b0ce745d7"]}],"mendeley":{"formattedCitation":"(23)","manualFormatting":"28","plainTextFormattedCitation":"(23)","previouslyFormattedCitation":"(23)"},"properties":{"noteIndex":0},"schema":"https://github.com/citation-style-language/schema/raw/master/csl-citation.json"}</w:instrText>
      </w:r>
      <w:r w:rsidRPr="007C0ACA">
        <w:rPr>
          <w:vertAlign w:val="superscript"/>
        </w:rPr>
        <w:fldChar w:fldCharType="separate"/>
      </w:r>
      <w:r w:rsidRPr="007C0ACA">
        <w:rPr>
          <w:noProof/>
          <w:vertAlign w:val="superscript"/>
        </w:rPr>
        <w:t>2</w:t>
      </w:r>
      <w:r w:rsidR="00911EFF" w:rsidRPr="007C0ACA">
        <w:rPr>
          <w:noProof/>
          <w:vertAlign w:val="superscript"/>
        </w:rPr>
        <w:t>8</w:t>
      </w:r>
      <w:r w:rsidRPr="007C0ACA">
        <w:rPr>
          <w:vertAlign w:val="superscript"/>
        </w:rPr>
        <w:fldChar w:fldCharType="end"/>
      </w:r>
      <w:r w:rsidRPr="007C0ACA">
        <w:t xml:space="preserve"> and with the inhibitor form of Bim are also studied to determine whether the interaction between Bak and the BH3-only peptide conserves the molecular determinants. These non-globular conformations are called </w:t>
      </w:r>
      <w:r w:rsidRPr="007C0ACA">
        <w:rPr>
          <w:i/>
        </w:rPr>
        <w:t>active</w:t>
      </w:r>
      <w:r w:rsidRPr="007C0ACA">
        <w:t xml:space="preserve"> conformations, as they simulate the structure that are adopted when </w:t>
      </w:r>
      <w:r w:rsidRPr="007C0ACA">
        <w:rPr>
          <w:i/>
        </w:rPr>
        <w:t>latch</w:t>
      </w:r>
      <w:r w:rsidRPr="007C0ACA">
        <w:t xml:space="preserve"> domain is separated from the </w:t>
      </w:r>
      <w:r w:rsidRPr="007C0ACA">
        <w:rPr>
          <w:i/>
        </w:rPr>
        <w:t>core</w:t>
      </w:r>
      <w:r w:rsidRPr="007C0ACA">
        <w:t xml:space="preserve"> domain, in the initial steps during Bak activation. The results reported shed some light into a better understanding of the activation/inhibition mechanism of Bak </w:t>
      </w:r>
      <w:r w:rsidR="00992C24" w:rsidRPr="007C0ACA">
        <w:t>that</w:t>
      </w:r>
      <w:r w:rsidRPr="007C0ACA">
        <w:t xml:space="preserve"> </w:t>
      </w:r>
      <w:r w:rsidR="00992C24" w:rsidRPr="007C0ACA">
        <w:t>can</w:t>
      </w:r>
      <w:r w:rsidRPr="007C0ACA">
        <w:t xml:space="preserve"> be used for the development of novel activators/inhibitors of pro-apoptotic Bak </w:t>
      </w:r>
      <w:r w:rsidR="003628DA" w:rsidRPr="007C0ACA">
        <w:t>to</w:t>
      </w:r>
      <w:r w:rsidRPr="007C0ACA">
        <w:t xml:space="preserve"> be translated in</w:t>
      </w:r>
      <w:r w:rsidR="003628DA" w:rsidRPr="007C0ACA">
        <w:t>to</w:t>
      </w:r>
      <w:r w:rsidRPr="007C0ACA">
        <w:t xml:space="preserve"> novel therapeutic agents.</w:t>
      </w:r>
    </w:p>
    <w:p w14:paraId="399CC87D" w14:textId="08FC8120" w:rsidR="00FD081E" w:rsidRPr="007C0ACA" w:rsidRDefault="001C3ADD" w:rsidP="001C3ADD">
      <w:pPr>
        <w:rPr>
          <w:b/>
          <w:sz w:val="28"/>
        </w:rPr>
      </w:pPr>
      <w:bookmarkStart w:id="1" w:name="_Toc518637934"/>
      <w:r w:rsidRPr="007C0ACA">
        <w:rPr>
          <w:b/>
          <w:sz w:val="28"/>
        </w:rPr>
        <w:lastRenderedPageBreak/>
        <w:t>Methods</w:t>
      </w:r>
    </w:p>
    <w:p w14:paraId="14F5BDB3" w14:textId="6E38C991" w:rsidR="00435CDD" w:rsidRPr="007C0ACA" w:rsidRDefault="00DE1BE8" w:rsidP="00F972F9">
      <w:pPr>
        <w:pStyle w:val="Ttol3"/>
        <w:spacing w:after="120"/>
      </w:pPr>
      <w:r w:rsidRPr="007C0ACA">
        <w:t>Preparation of Bak/X Complexes</w:t>
      </w:r>
      <w:bookmarkEnd w:id="1"/>
    </w:p>
    <w:p w14:paraId="0E34186E" w14:textId="1EBA178B" w:rsidR="00DB079B" w:rsidRPr="007C0ACA" w:rsidRDefault="00435CDD" w:rsidP="00C55071">
      <w:pPr>
        <w:ind w:firstLine="720"/>
        <w:jc w:val="both"/>
      </w:pPr>
      <w:r w:rsidRPr="007C0ACA">
        <w:t>Three-dimensional structure</w:t>
      </w:r>
      <w:r w:rsidR="004A200C" w:rsidRPr="007C0ACA">
        <w:t>s</w:t>
      </w:r>
      <w:r w:rsidRPr="007C0ACA">
        <w:t xml:space="preserve"> </w:t>
      </w:r>
      <w:r w:rsidR="004A200C" w:rsidRPr="007C0ACA">
        <w:t>of</w:t>
      </w:r>
      <w:r w:rsidRPr="007C0ACA">
        <w:t xml:space="preserve"> the Bak/Bim</w:t>
      </w:r>
      <w:r w:rsidR="00416EF4" w:rsidRPr="007C0ACA">
        <w:t xml:space="preserve"> complex in its </w:t>
      </w:r>
      <w:r w:rsidR="00416EF4" w:rsidRPr="007C0ACA">
        <w:rPr>
          <w:i/>
        </w:rPr>
        <w:t xml:space="preserve">active </w:t>
      </w:r>
      <w:r w:rsidR="00416EF4" w:rsidRPr="007C0ACA">
        <w:t>state</w:t>
      </w:r>
      <w:r w:rsidR="00416EF4" w:rsidRPr="007C0ACA">
        <w:rPr>
          <w:i/>
        </w:rPr>
        <w:t xml:space="preserve"> </w:t>
      </w:r>
      <w:r w:rsidR="00416EF4" w:rsidRPr="007C0ACA">
        <w:t>and</w:t>
      </w:r>
      <w:r w:rsidRPr="007C0ACA">
        <w:t xml:space="preserve"> </w:t>
      </w:r>
      <w:r w:rsidR="009479D4" w:rsidRPr="007C0ACA">
        <w:t>of</w:t>
      </w:r>
      <w:r w:rsidR="00416EF4" w:rsidRPr="007C0ACA">
        <w:t xml:space="preserve"> </w:t>
      </w:r>
      <w:r w:rsidR="00894D6C" w:rsidRPr="007C0ACA">
        <w:t>the Bak</w:t>
      </w:r>
      <w:r w:rsidRPr="007C0ACA">
        <w:t xml:space="preserve">/Bid </w:t>
      </w:r>
      <w:r w:rsidR="00416EF4" w:rsidRPr="007C0ACA">
        <w:t xml:space="preserve">and Bak/Bim(h3Pc) complexes in </w:t>
      </w:r>
      <w:r w:rsidR="009479D4" w:rsidRPr="007C0ACA">
        <w:t>their</w:t>
      </w:r>
      <w:r w:rsidR="00894D6C" w:rsidRPr="007C0ACA">
        <w:t xml:space="preserve"> </w:t>
      </w:r>
      <w:r w:rsidR="00894D6C" w:rsidRPr="007C0ACA">
        <w:rPr>
          <w:i/>
        </w:rPr>
        <w:t>inactive</w:t>
      </w:r>
      <w:r w:rsidR="00416EF4" w:rsidRPr="007C0ACA">
        <w:rPr>
          <w:i/>
        </w:rPr>
        <w:t xml:space="preserve"> </w:t>
      </w:r>
      <w:r w:rsidR="00894D6C" w:rsidRPr="007C0ACA">
        <w:t xml:space="preserve">state </w:t>
      </w:r>
      <w:r w:rsidR="009479D4" w:rsidRPr="007C0ACA">
        <w:t>were retrieved</w:t>
      </w:r>
      <w:r w:rsidR="00CA4432" w:rsidRPr="007C0ACA">
        <w:t xml:space="preserve"> from the </w:t>
      </w:r>
      <w:r w:rsidR="00DE1BE8" w:rsidRPr="007C0ACA">
        <w:t>Protein Data Bank (PDB)</w:t>
      </w:r>
      <w:r w:rsidR="009479D4" w:rsidRPr="007C0ACA">
        <w:t xml:space="preserve"> </w:t>
      </w:r>
      <w:r w:rsidR="00DE3DB8" w:rsidRPr="007C0ACA">
        <w:t xml:space="preserve">with </w:t>
      </w:r>
      <w:r w:rsidR="00DE1BE8" w:rsidRPr="007C0ACA">
        <w:t xml:space="preserve">PDB </w:t>
      </w:r>
      <w:r w:rsidR="00CA4432" w:rsidRPr="007C0ACA">
        <w:t xml:space="preserve">accession </w:t>
      </w:r>
      <w:r w:rsidR="00DE1BE8" w:rsidRPr="007C0ACA">
        <w:t>code</w:t>
      </w:r>
      <w:r w:rsidRPr="007C0ACA">
        <w:t>s</w:t>
      </w:r>
      <w:r w:rsidR="00CA4432" w:rsidRPr="007C0ACA">
        <w:t>:</w:t>
      </w:r>
      <w:r w:rsidRPr="007C0ACA">
        <w:t xml:space="preserve"> 5VW</w:t>
      </w:r>
      <w:r w:rsidR="00416EF4" w:rsidRPr="007C0ACA">
        <w:t>V</w:t>
      </w:r>
      <w:r w:rsidR="00023FA4" w:rsidRPr="007C0ACA">
        <w:fldChar w:fldCharType="begin" w:fldLock="1"/>
      </w:r>
      <w:r w:rsidR="00023FA4" w:rsidRPr="007C0ACA">
        <w:instrText>ADDIN CSL_CITATION {"citationItems":[{"id":"ITEM-1","itemData":{"DOI":"10.1016/j.molcel.2017.11.001","ISSN":"1097-2765","author":[{"dropping-particle":"","family":"Brouwer","given":"Jason M","non-dropping-particle":"","parse-names":false,"suffix":""},{"dropping-particle":"","family":"Lan","given":"Ping","non-dropping-particle":"","parse-names":false,"suffix":""},{"dropping-particle":"","family":"Cowan","given":"Angus D","non-dropping-particle":"","parse-names":false,"suffix":""},{"dropping-particle":"","family":"Lessene","given":"Guillaume","non-dropping-particle":"","parse-names":false,"suffix":""},{"dropping-particle":"","family":"Colman","given":"Peter M","non-dropping-particle":"","parse-names":false,"suffix":""},{"dropping-particle":"","family":"Czabotar","given":"Peter E","non-dropping-particle":"","parse-names":false,"suffix":""},{"dropping-particle":"","family":"Brouwer","given":"Jason M","non-dropping-particle":"","parse-names":false,"suffix":""},{"dropping-particle":"","family":"Lan","given":"Ping","non-dropping-particle":"","parse-names":false,"suffix":""},{"dropping-particle":"","family":"Cowan","given":"Angus D","non-dropping-particle":"","parse-names":false,"suffix":""},{"dropping-particle":"","family":"Bernardini","given":"Jonathan P","non-dropping-particle":"","parse-names":false,"suffix":""},{"dropping-particle":"","family":"Birkinshaw","given":"Richard W","non-dropping-particle":"","parse-names":false,"suffix":""}],"container-title":"Molecular Cell","id":"ITEM-1","issue":"4","issued":{"date-parts":[["2017"]]},"page":"659-672.e9","publisher":"Elsevier Inc.","title":"Conversion of Bim-BH3 from Activator to Inhibitor of Bak through Structure-Based Design Article Conversion of Bim-BH3 from Activator to Inhibitor of Bak through Structure-Based Design","type":"article-journal","volume":"68"},"uris":["http://www.mendeley.com/documents/?uuid=0932d33b-0983-4633-9349-85809690a5a1"]}],"mendeley":{"formattedCitation":"(28)","manualFormatting":"28","plainTextFormattedCitation":"(28)","previouslyFormattedCitation":"(28)"},"properties":{"noteIndex":0},"schema":"https://github.com/citation-style-language/schema/raw/master/csl-citation.json"}</w:instrText>
      </w:r>
      <w:r w:rsidR="00023FA4" w:rsidRPr="007C0ACA">
        <w:fldChar w:fldCharType="separate"/>
      </w:r>
      <w:r w:rsidR="00023FA4" w:rsidRPr="007C0ACA">
        <w:rPr>
          <w:noProof/>
          <w:vertAlign w:val="superscript"/>
        </w:rPr>
        <w:t>28</w:t>
      </w:r>
      <w:r w:rsidR="00023FA4" w:rsidRPr="007C0ACA">
        <w:fldChar w:fldCharType="end"/>
      </w:r>
      <w:r w:rsidR="00416EF4" w:rsidRPr="007C0ACA">
        <w:t xml:space="preserve">, </w:t>
      </w:r>
      <w:r w:rsidR="009479D4" w:rsidRPr="007C0ACA">
        <w:t>2</w:t>
      </w:r>
      <w:r w:rsidR="00416EF4" w:rsidRPr="007C0ACA">
        <w:t>M5B</w:t>
      </w:r>
      <w:r w:rsidR="00023FA4" w:rsidRPr="007C0ACA">
        <w:fldChar w:fldCharType="begin" w:fldLock="1"/>
      </w:r>
      <w:r w:rsidR="00023FA4" w:rsidRPr="007C0ACA">
        <w:instrText>ADDIN CSL_CITATION {"citationItems":[{"id":"ITEM-1","itemData":{"DOI":"10.1016/j.jsb.2008.12.003","ISSN":"1047-8477","author":[{"dropping-particle":"","family":"Wang","given":"Hongfei","non-dropping-particle":"","parse-names":false,"suffix":""},{"dropping-particle":"","family":"Takemoto","given":"Chie","non-dropping-particle":"","parse-names":false,"suffix":""},{"dropping-particle":"","family":"Akasaka","given":"Ryogo","non-dropping-particle":"","parse-names":false,"suffix":""},{"dropping-particle":"","family":"Uchikubo-kamo","given":"Tomomi","non-dropping-particle":"","parse-names":false,"suffix":""},{"dropping-particle":"","family":"Kishishita","given":"Seiichiro","non-dropping-particle":"","parse-names":false,"suffix":""},{"dropping-particle":"","family":"Murayama","given":"Kazutaka","non-dropping-particle":"","parse-names":false,"suffix":""},{"dropping-particle":"","family":"Terada","given":"Takaho","non-dropping-particle":"","parse-names":false,"suffix":""},{"dropping-particle":"","family":"Chen","given":"Lirong","non-dropping-particle":"","parse-names":false,"suffix":""},{"dropping-particle":"","family":"Liu","given":"Zhi-jie","non-dropping-particle":"","parse-names":false,"suffix":""},{"dropping-particle":"","family":"Wang","given":"Bi-cheng","non-dropping-particle":"","parse-names":false,"suffix":""},{"dropping-particle":"","family":"Sugano","given":"Sumio","non-dropping-particle":"","parse-names":false,"suffix":""},{"dropping-particle":"","family":"Tanaka","given":"Akiko","non-dropping-particle":"","parse-names":false,"suffix":""},{"dropping-particle":"","family":"Inoue","given":"Makoto","non-dropping-particle":"","parse-names":false,"suffix":""},{"dropping-particle":"","family":"Kigawa","given":"Takanori","non-dropping-particle":"","parse-names":false,"suffix":""},{"dropping-particle":"","family":"Shirouzu","given":"Mikako","non-dropping-particle":"","parse-names":false,"suffix":""},{"dropping-particle":"","family":"Yokoyama","given":"Shigeyuki","non-dropping-particle":"","parse-names":false,"suffix":""}],"container-title":"Journal of Structural Biology","id":"ITEM-1","issue":"1","issued":{"date-parts":[["2009"]]},"page":"32-37","publisher":"Elsevier Inc.","title":"Novel dimerization mode of the human Bcl-2 family protein Bak , a mitochondrial apoptosis regulator","type":"article-journal","volume":"166"},"uris":["http://www.mendeley.com/documents/?uuid=6061541c-eaf6-4ec7-b4ff-2b3fe599814b"]}],"mendeley":{"formattedCitation":"(29)","manualFormatting":"29","plainTextFormattedCitation":"(29)","previouslyFormattedCitation":"(29)"},"properties":{"noteIndex":0},"schema":"https://github.com/citation-style-language/schema/raw/master/csl-citation.json"}</w:instrText>
      </w:r>
      <w:r w:rsidR="00023FA4" w:rsidRPr="007C0ACA">
        <w:fldChar w:fldCharType="separate"/>
      </w:r>
      <w:r w:rsidR="00023FA4" w:rsidRPr="007C0ACA">
        <w:rPr>
          <w:noProof/>
          <w:vertAlign w:val="superscript"/>
        </w:rPr>
        <w:t>29</w:t>
      </w:r>
      <w:r w:rsidR="00023FA4" w:rsidRPr="007C0ACA">
        <w:fldChar w:fldCharType="end"/>
      </w:r>
      <w:r w:rsidR="00416EF4" w:rsidRPr="007C0ACA">
        <w:t xml:space="preserve"> and 5VWZ</w:t>
      </w:r>
      <w:r w:rsidR="00023FA4" w:rsidRPr="007C0ACA">
        <w:rPr>
          <w:vertAlign w:val="superscript"/>
        </w:rPr>
        <w:fldChar w:fldCharType="begin" w:fldLock="1"/>
      </w:r>
      <w:r w:rsidR="00023FA4" w:rsidRPr="007C0ACA">
        <w:rPr>
          <w:vertAlign w:val="superscript"/>
        </w:rPr>
        <w:instrText>ADDIN CSL_CITATION {"citationItems":[{"id":"ITEM-1","itemData":{"DOI":"10.1016/j.molcel.2017.11.001","ISSN":"1097-2765","author":[{"dropping-particle":"","family":"Brouwer","given":"Jason M","non-dropping-particle":"","parse-names":false,"suffix":""},{"dropping-particle":"","family":"Lan","given":"Ping","non-dropping-particle":"","parse-names":false,"suffix":""},{"dropping-particle":"","family":"Cowan","given":"Angus D","non-dropping-particle":"","parse-names":false,"suffix":""},{"dropping-particle":"","family":"Lessene","given":"Guillaume","non-dropping-particle":"","parse-names":false,"suffix":""},{"dropping-particle":"","family":"Colman","given":"Peter M","non-dropping-particle":"","parse-names":false,"suffix":""},{"dropping-particle":"","family":"Czabotar","given":"Peter E","non-dropping-particle":"","parse-names":false,"suffix":""},{"dropping-particle":"","family":"Brouwer","given":"Jason M","non-dropping-particle":"","parse-names":false,"suffix":""},{"dropping-particle":"","family":"Lan","given":"Ping","non-dropping-particle":"","parse-names":false,"suffix":""},{"dropping-particle":"","family":"Cowan","given":"Angus D","non-dropping-particle":"","parse-names":false,"suffix":""},{"dropping-particle":"","family":"Bernardini","given":"Jonathan P","non-dropping-particle":"","parse-names":false,"suffix":""},{"dropping-particle":"","family":"Birkinshaw","given":"Richard W","non-dropping-particle":"","parse-names":false,"suffix":""}],"container-title":"Molecular Cell","id":"ITEM-1","issue":"4","issued":{"date-parts":[["2017"]]},"page":"659-672.e9","publisher":"Elsevier Inc.","title":"Conversion of Bim-BH3 from Activator to Inhibitor of Bak through Structure-Based Design Article Conversion of Bim-BH3 from Activator to Inhibitor of Bak through Structure-Based Design","type":"article-journal","volume":"68"},"uris":["http://www.mendeley.com/documents/?uuid=0932d33b-0983-4633-9349-85809690a5a1"]}],"mendeley":{"formattedCitation":"(28)","manualFormatting":"28","plainTextFormattedCitation":"(28)","previouslyFormattedCitation":"(28)"},"properties":{"noteIndex":0},"schema":"https://github.com/citation-style-language/schema/raw/master/csl-citation.json"}</w:instrText>
      </w:r>
      <w:r w:rsidR="00023FA4" w:rsidRPr="007C0ACA">
        <w:rPr>
          <w:vertAlign w:val="superscript"/>
        </w:rPr>
        <w:fldChar w:fldCharType="separate"/>
      </w:r>
      <w:r w:rsidR="00023FA4" w:rsidRPr="007C0ACA">
        <w:rPr>
          <w:noProof/>
          <w:vertAlign w:val="superscript"/>
        </w:rPr>
        <w:t>28</w:t>
      </w:r>
      <w:r w:rsidR="00023FA4" w:rsidRPr="007C0ACA">
        <w:rPr>
          <w:vertAlign w:val="superscript"/>
        </w:rPr>
        <w:fldChar w:fldCharType="end"/>
      </w:r>
      <w:r w:rsidR="00CA4432" w:rsidRPr="007C0ACA">
        <w:t>,</w:t>
      </w:r>
      <w:r w:rsidR="00416EF4" w:rsidRPr="007C0ACA">
        <w:t xml:space="preserve"> respectively</w:t>
      </w:r>
      <w:r w:rsidR="00894D6C" w:rsidRPr="007C0ACA">
        <w:t xml:space="preserve"> (Table </w:t>
      </w:r>
      <w:r w:rsidR="009567D1" w:rsidRPr="007C0ACA">
        <w:t>S</w:t>
      </w:r>
      <w:r w:rsidR="00894D6C" w:rsidRPr="007C0ACA">
        <w:t>1</w:t>
      </w:r>
      <w:r w:rsidR="009567D1" w:rsidRPr="007C0ACA">
        <w:t>, E</w:t>
      </w:r>
      <w:r w:rsidR="00894D6C" w:rsidRPr="007C0ACA">
        <w:t>SI)</w:t>
      </w:r>
      <w:r w:rsidR="00DE1BE8" w:rsidRPr="007C0ACA">
        <w:t>.</w:t>
      </w:r>
      <w:r w:rsidR="00894D6C" w:rsidRPr="007C0ACA">
        <w:t xml:space="preserve"> </w:t>
      </w:r>
      <w:r w:rsidR="00CA4432" w:rsidRPr="007C0ACA">
        <w:t xml:space="preserve">Specific residues were </w:t>
      </w:r>
      <w:r w:rsidR="00700D7C" w:rsidRPr="007C0ACA">
        <w:t>substituted</w:t>
      </w:r>
      <w:r w:rsidR="00B22BF1" w:rsidRPr="007C0ACA">
        <w:t xml:space="preserve"> </w:t>
      </w:r>
      <w:r w:rsidR="00DE1BE8" w:rsidRPr="007C0ACA">
        <w:t xml:space="preserve">to obtain the </w:t>
      </w:r>
      <w:r w:rsidR="00DB079B" w:rsidRPr="007C0ACA">
        <w:t>wild type (</w:t>
      </w:r>
      <w:r w:rsidR="00DE1BE8" w:rsidRPr="007C0ACA">
        <w:t>WT</w:t>
      </w:r>
      <w:r w:rsidR="00DB079B" w:rsidRPr="007C0ACA">
        <w:t>)</w:t>
      </w:r>
      <w:r w:rsidR="00DE1BE8" w:rsidRPr="007C0ACA">
        <w:t xml:space="preserve"> sequence</w:t>
      </w:r>
      <w:r w:rsidR="00B22BF1" w:rsidRPr="007C0ACA">
        <w:t>s</w:t>
      </w:r>
      <w:r w:rsidR="00DE1BE8" w:rsidRPr="007C0ACA">
        <w:t xml:space="preserve"> for Bak</w:t>
      </w:r>
      <w:r w:rsidR="0033098D" w:rsidRPr="007C0ACA">
        <w:t xml:space="preserve">, </w:t>
      </w:r>
      <w:r w:rsidR="001C2C34" w:rsidRPr="007C0ACA">
        <w:t>Bim and</w:t>
      </w:r>
      <w:r w:rsidR="00DE1BE8" w:rsidRPr="007C0ACA">
        <w:t xml:space="preserve"> Bid</w:t>
      </w:r>
      <w:r w:rsidR="00CA4432" w:rsidRPr="007C0ACA">
        <w:t>, when necessary</w:t>
      </w:r>
      <w:r w:rsidR="00DE1BE8" w:rsidRPr="007C0ACA">
        <w:t xml:space="preserve">. </w:t>
      </w:r>
      <w:r w:rsidR="009479D4" w:rsidRPr="007C0ACA">
        <w:t xml:space="preserve">The structure of the Bak/Bim complex in Bak </w:t>
      </w:r>
      <w:r w:rsidR="009479D4" w:rsidRPr="007C0ACA">
        <w:rPr>
          <w:i/>
        </w:rPr>
        <w:t>inactive</w:t>
      </w:r>
      <w:r w:rsidR="009479D4" w:rsidRPr="007C0ACA">
        <w:t xml:space="preserve"> conformation was generated using the coordinates of the Bak/Bim(h3Pc) complex (PDB code 5VWZ)</w:t>
      </w:r>
      <w:r w:rsidR="000C56B3" w:rsidRPr="007C0ACA">
        <w:t>.</w:t>
      </w:r>
      <w:r w:rsidR="00023FA4" w:rsidRPr="007C0ACA">
        <w:rPr>
          <w:vertAlign w:val="superscript"/>
        </w:rPr>
        <w:fldChar w:fldCharType="begin" w:fldLock="1"/>
      </w:r>
      <w:r w:rsidR="00CF60B5" w:rsidRPr="007C0ACA">
        <w:rPr>
          <w:vertAlign w:val="superscript"/>
        </w:rPr>
        <w:instrText>ADDIN CSL_CITATION {"citationItems":[{"id":"ITEM-1","itemData":{"DOI":"10.1016/j.molcel.2017.11.001","ISSN":"1097-2765","author":[{"dropping-particle":"","family":"Brouwer","given":"Jason M","non-dropping-particle":"","parse-names":false,"suffix":""},{"dropping-particle":"","family":"Lan","given":"Ping","non-dropping-particle":"","parse-names":false,"suffix":""},{"dropping-particle":"","family":"Cowan","given":"Angus D","non-dropping-particle":"","parse-names":false,"suffix":""},{"dropping-particle":"","family":"Lessene","given":"Guillaume","non-dropping-particle":"","parse-names":false,"suffix":""},{"dropping-particle":"","family":"Colman","given":"Peter M","non-dropping-particle":"","parse-names":false,"suffix":""},{"dropping-particle":"","family":"Czabotar","given":"Peter E","non-dropping-particle":"","parse-names":false,"suffix":""},{"dropping-particle":"","family":"Brouwer","given":"Jason M","non-dropping-particle":"","parse-names":false,"suffix":""},{"dropping-particle":"","family":"Lan","given":"Ping","non-dropping-particle":"","parse-names":false,"suffix":""},{"dropping-particle":"","family":"Cowan","given":"Angus D","non-dropping-particle":"","parse-names":false,"suffix":""},{"dropping-particle":"","family":"Bernardini","given":"Jonathan P","non-dropping-particle":"","parse-names":false,"suffix":""},{"dropping-particle":"","family":"Birkinshaw","given":"Richard W","non-dropping-particle":"","parse-names":false,"suffix":""}],"container-title":"Molecular Cell","id":"ITEM-1","issue":"4","issued":{"date-parts":[["2017"]]},"page":"659-672.e9","publisher":"Elsevier Inc.","title":"Conversion of Bim-BH3 from Activator to Inhibitor of Bak through Structure-Based Design Article Conversion of Bim-BH3 from Activator to Inhibitor of Bak through Structure-Based Design","type":"article-journal","volume":"68"},"uris":["http://www.mendeley.com/documents/?uuid=0932d33b-0983-4633-9349-85809690a5a1"]}],"mendeley":{"formattedCitation":"(28)","manualFormatting":"28","plainTextFormattedCitation":"(28)","previouslyFormattedCitation":"(28)"},"properties":{"noteIndex":0},"schema":"https://github.com/citation-style-language/schema/raw/master/csl-citation.json"}</w:instrText>
      </w:r>
      <w:r w:rsidR="00023FA4" w:rsidRPr="007C0ACA">
        <w:rPr>
          <w:vertAlign w:val="superscript"/>
        </w:rPr>
        <w:fldChar w:fldCharType="separate"/>
      </w:r>
      <w:r w:rsidR="00023FA4" w:rsidRPr="007C0ACA">
        <w:rPr>
          <w:noProof/>
          <w:vertAlign w:val="superscript"/>
        </w:rPr>
        <w:t>28</w:t>
      </w:r>
      <w:r w:rsidR="00023FA4" w:rsidRPr="007C0ACA">
        <w:rPr>
          <w:vertAlign w:val="superscript"/>
        </w:rPr>
        <w:fldChar w:fldCharType="end"/>
      </w:r>
      <w:r w:rsidR="000C56B3" w:rsidRPr="007C0ACA">
        <w:t xml:space="preserve"> </w:t>
      </w:r>
      <w:r w:rsidR="00C83B8A" w:rsidRPr="007C0ACA">
        <w:t>The non-natural r</w:t>
      </w:r>
      <w:r w:rsidR="000C56B3" w:rsidRPr="007C0ACA">
        <w:t>esidue 155 (</w:t>
      </w:r>
      <w:r w:rsidR="00C83B8A" w:rsidRPr="007C0ACA">
        <w:t xml:space="preserve">with residue name </w:t>
      </w:r>
      <w:r w:rsidR="000C56B3" w:rsidRPr="007C0ACA">
        <w:t xml:space="preserve">9R1) was modified into its wild-type form: an Isoleucine, and missing atoms from this residue were completed using the </w:t>
      </w:r>
      <w:r w:rsidR="000C56B3" w:rsidRPr="007C0ACA">
        <w:rPr>
          <w:i/>
        </w:rPr>
        <w:t>LEaP</w:t>
      </w:r>
      <w:r w:rsidR="000C56B3" w:rsidRPr="007C0ACA">
        <w:t xml:space="preserve"> module of the AMBER16 software.</w:t>
      </w:r>
      <w:r w:rsidR="00CF60B5" w:rsidRPr="007C0ACA">
        <w:fldChar w:fldCharType="begin" w:fldLock="1"/>
      </w:r>
      <w:r w:rsidR="00CF60B5" w:rsidRPr="007C0ACA">
        <w:instrText>ADDIN CSL_CITATION {"citationItems":[{"id":"ITEM-1","itemData":{"author":[{"dropping-particle":"","family":"Amber","given":"Covers","non-dropping-particle":"","parse-names":false,"suffix":""}],"id":"ITEM-1","issued":{"date-parts":[["2017"]]},"title":"Amber 2017 Reference Manual","type":"article-journal"},"uris":["http://www.mendeley.com/documents/?uuid=399ec48b-acb9-4d2e-b76f-58786cf99ed3"]}],"mendeley":{"formattedCitation":"(30)","manualFormatting":"30","plainTextFormattedCitation":"(30)","previouslyFormattedCitation":"(30)"},"properties":{"noteIndex":0},"schema":"https://github.com/citation-style-language/schema/raw/master/csl-citation.json"}</w:instrText>
      </w:r>
      <w:r w:rsidR="00CF60B5" w:rsidRPr="007C0ACA">
        <w:fldChar w:fldCharType="separate"/>
      </w:r>
      <w:r w:rsidR="00CF60B5" w:rsidRPr="007C0ACA">
        <w:rPr>
          <w:noProof/>
          <w:vertAlign w:val="superscript"/>
        </w:rPr>
        <w:t>30</w:t>
      </w:r>
      <w:r w:rsidR="00CF60B5" w:rsidRPr="007C0ACA">
        <w:fldChar w:fldCharType="end"/>
      </w:r>
      <w:r w:rsidR="004B0596" w:rsidRPr="007C0ACA">
        <w:t xml:space="preserve"> Finally, the structure of the Bak/Bim(h3Pc) complex in Bak </w:t>
      </w:r>
      <w:r w:rsidR="004B0596" w:rsidRPr="007C0ACA">
        <w:rPr>
          <w:i/>
        </w:rPr>
        <w:t>active</w:t>
      </w:r>
      <w:r w:rsidR="004B0596" w:rsidRPr="007C0ACA">
        <w:t xml:space="preserve"> conformation was generated from the Bak/Bim complex (PDB code 5VWV) where residue I155 of Bim was </w:t>
      </w:r>
      <w:r w:rsidR="002A6DBC" w:rsidRPr="007C0ACA">
        <w:t>changed to</w:t>
      </w:r>
      <w:r w:rsidR="004B0596" w:rsidRPr="007C0ACA">
        <w:t xml:space="preserve"> the non-natural 9R1 residue</w:t>
      </w:r>
      <w:r w:rsidR="00102E9B" w:rsidRPr="007C0ACA">
        <w:t>.</w:t>
      </w:r>
    </w:p>
    <w:p w14:paraId="67B06DA4" w14:textId="7A268E4F" w:rsidR="00DE1BE8" w:rsidRPr="007C0ACA" w:rsidRDefault="00102E9B" w:rsidP="00C55071">
      <w:pPr>
        <w:spacing w:line="276" w:lineRule="auto"/>
        <w:ind w:firstLine="720"/>
        <w:jc w:val="both"/>
      </w:pPr>
      <w:r w:rsidRPr="007C0ACA">
        <w:t>Paramet</w:t>
      </w:r>
      <w:r w:rsidR="00711338" w:rsidRPr="007C0ACA">
        <w:t>ers</w:t>
      </w:r>
      <w:r w:rsidRPr="007C0ACA">
        <w:t xml:space="preserve"> for the h3Pc non-natural residue w</w:t>
      </w:r>
      <w:r w:rsidR="00711338" w:rsidRPr="007C0ACA">
        <w:t>ere</w:t>
      </w:r>
      <w:r w:rsidRPr="007C0ACA">
        <w:t xml:space="preserve"> </w:t>
      </w:r>
      <w:r w:rsidR="00711338" w:rsidRPr="007C0ACA">
        <w:t>obtained</w:t>
      </w:r>
      <w:r w:rsidRPr="007C0ACA">
        <w:t xml:space="preserve"> using distance, angles and dihedrals from glutamate, </w:t>
      </w:r>
      <w:r w:rsidR="00711338" w:rsidRPr="007C0ACA">
        <w:t>whilst</w:t>
      </w:r>
      <w:r w:rsidRPr="007C0ACA">
        <w:t xml:space="preserve"> missing parameters were obtained using </w:t>
      </w:r>
      <w:r w:rsidR="00B74EB6" w:rsidRPr="007C0ACA">
        <w:t xml:space="preserve">the </w:t>
      </w:r>
      <w:r w:rsidRPr="007C0ACA">
        <w:t>General Amber Force Field (gaff)</w:t>
      </w:r>
      <w:r w:rsidR="00CF60B5" w:rsidRPr="007C0ACA">
        <w:rPr>
          <w:vertAlign w:val="superscript"/>
        </w:rPr>
        <w:fldChar w:fldCharType="begin" w:fldLock="1"/>
      </w:r>
      <w:r w:rsidR="00CF60B5" w:rsidRPr="007C0ACA">
        <w:rPr>
          <w:vertAlign w:val="superscript"/>
        </w:rPr>
        <w:instrText>ADDIN CSL_CITATION {"citationItems":[{"id":"ITEM-1","itemData":{"author":[{"dropping-particle":"","family":"Wang","given":"Junmei","non-dropping-particle":"","parse-names":false,"suffix":""},{"dropping-particle":"","family":"Wolf","given":"Romain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id":"ITEM-1","issued":{"date-parts":[["2004"]]},"title":"20035_Ftp","type":"article-journal","volume":"56531"},"uris":["http://www.mendeley.com/documents/?uuid=8a5d9cd4-638c-459b-81fe-023016e6cf1b"]}],"mendeley":{"formattedCitation":"(31)","manualFormatting":"31","plainTextFormattedCitation":"(31)","previouslyFormattedCitation":"(31)"},"properties":{"noteIndex":0},"schema":"https://github.com/citation-style-language/schema/raw/master/csl-citation.json"}</w:instrText>
      </w:r>
      <w:r w:rsidR="00CF60B5" w:rsidRPr="007C0ACA">
        <w:rPr>
          <w:vertAlign w:val="superscript"/>
        </w:rPr>
        <w:fldChar w:fldCharType="separate"/>
      </w:r>
      <w:r w:rsidR="00CF60B5" w:rsidRPr="007C0ACA">
        <w:rPr>
          <w:noProof/>
          <w:vertAlign w:val="superscript"/>
        </w:rPr>
        <w:t>31</w:t>
      </w:r>
      <w:r w:rsidR="00CF60B5" w:rsidRPr="007C0ACA">
        <w:rPr>
          <w:vertAlign w:val="superscript"/>
        </w:rPr>
        <w:fldChar w:fldCharType="end"/>
      </w:r>
      <w:r w:rsidRPr="007C0ACA">
        <w:t>. Charges were generated with the restrained electrostatic potential (RESP) at HF/6-31G* level, which is the default charge approach applied in  Amber protein force fields.</w:t>
      </w:r>
      <w:r w:rsidR="00CF60B5" w:rsidRPr="007C0ACA">
        <w:rPr>
          <w:vertAlign w:val="superscript"/>
        </w:rPr>
        <w:fldChar w:fldCharType="begin" w:fldLock="1"/>
      </w:r>
      <w:r w:rsidR="00761432" w:rsidRPr="007C0ACA">
        <w:rPr>
          <w:vertAlign w:val="superscript"/>
        </w:rPr>
        <w:instrText>ADDIN CSL_CITATION {"citationItems":[{"id":"ITEM-1","itemData":{"author":[{"dropping-particle":"","family":"Wang","given":"Junmei","non-dropping-particle":"","parse-names":false,"suffix":""},{"dropping-particle":"","family":"Wolf","given":"Romain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id":"ITEM-1","issued":{"date-parts":[["2004"]]},"title":"20035_Ftp","type":"article-journal","volume":"56531"},"uris":["http://www.mendeley.com/documents/?uuid=8a5d9cd4-638c-459b-81fe-023016e6cf1b"]},{"id":"ITEM-2","itemData":{"abstract":"We present a new approach to generating electrostatic potential (ESP) derived charges for molecules. The major strength of electrostatic potential derived charges is that they optimally reproduce the intermolecular interaction properties of molecules with a simple two-body additive potential, provided, of course, that a suitably accurate level of quantum mechanical calculation is used to derive the ESP around the molecule. Previously, the major weaknesses of these charges have been that they were not easily transferable between common functional groups in related molecules, they have often been conformationally dependent, and the large charges that frequently occur can be problematic for simulating intramolecular interactions. Introducing restraints in the form of a penalty function into the fitting process considerably reduces the above problems, with only a minordecreaseinthequalityofthefittothequantummechanicalESP. Severalotherrefinementsinaddition to the restrained electrostatic potential (RESP) fit yield a general and algorithmic charge fitting procedure for generatingatom-centeredpointcharges. Thisapproachcanthusberecommendedforgeneraluseinmolecular mechanics, molecular dynamics, and free energy calculations for any organic or bioorganic system.","author":[{"dropping-particle":"","family":"Bayly","given":"Christopher I","non-dropping-particle":"","parse-names":false,"suffix":""},{"dropping-particle":"","family":"Cieplak","given":"Piotr","non-dropping-particle":"","parse-names":false,"suffix":""},{"dropping-particle":"","family":"Cornell","given":"Wendy D","non-dropping-particle":"","parse-names":false,"suffix":""},{"dropping-particle":"","family":"Kollman","given":"Peter A","non-dropping-particle":"","parse-names":false,"suffix":""}],"container-title":"Journal of Physical Chemistry","id":"ITEM-2","issue":"40","issued":{"date-parts":[["1993"]]},"page":"10269-10280","title":"ARTICLES A Well-Behaved Electrostatic Potential Based Method Using Charge Restraints for Deriving","type":"article-journal","volume":"97"},"uris":["http://www.mendeley.com/documents/?uuid=3326d254-111e-44b7-b14c-889c770f5150"]}],"mendeley":{"formattedCitation":"(31,32)","manualFormatting":"31,32","plainTextFormattedCitation":"(31,32)","previouslyFormattedCitation":"(31,32)"},"properties":{"noteIndex":0},"schema":"https://github.com/citation-style-language/schema/raw/master/csl-citation.json"}</w:instrText>
      </w:r>
      <w:r w:rsidR="00CF60B5" w:rsidRPr="007C0ACA">
        <w:rPr>
          <w:vertAlign w:val="superscript"/>
        </w:rPr>
        <w:fldChar w:fldCharType="separate"/>
      </w:r>
      <w:r w:rsidR="00CF60B5" w:rsidRPr="007C0ACA">
        <w:rPr>
          <w:noProof/>
          <w:vertAlign w:val="superscript"/>
        </w:rPr>
        <w:t>31,32</w:t>
      </w:r>
      <w:r w:rsidR="00CF60B5" w:rsidRPr="007C0ACA">
        <w:rPr>
          <w:vertAlign w:val="superscript"/>
        </w:rPr>
        <w:fldChar w:fldCharType="end"/>
      </w:r>
      <w:r w:rsidR="00BF0879" w:rsidRPr="007C0ACA">
        <w:t xml:space="preserve">The </w:t>
      </w:r>
      <w:r w:rsidR="00DE1BE8" w:rsidRPr="007C0ACA">
        <w:t>Bak/BidAib</w:t>
      </w:r>
      <w:r w:rsidR="00DE1BE8" w:rsidRPr="007C0ACA">
        <w:rPr>
          <w:vertAlign w:val="subscript"/>
        </w:rPr>
        <w:t>2</w:t>
      </w:r>
      <w:r w:rsidR="00DE1BE8" w:rsidRPr="007C0ACA">
        <w:t xml:space="preserve"> complex has two special residues, the </w:t>
      </w:r>
      <w:r w:rsidR="00DE1BE8" w:rsidRPr="007C0ACA">
        <w:rPr>
          <w:rFonts w:cstheme="minorHAnsi"/>
        </w:rPr>
        <w:t>α</w:t>
      </w:r>
      <w:r w:rsidR="00DE1BE8" w:rsidRPr="007C0ACA">
        <w:t xml:space="preserve">-aminoisobutyric </w:t>
      </w:r>
      <w:r w:rsidRPr="007C0ACA">
        <w:t xml:space="preserve">acid </w:t>
      </w:r>
      <w:r w:rsidR="00DE1BE8" w:rsidRPr="007C0ACA">
        <w:t>residues</w:t>
      </w:r>
      <w:r w:rsidRPr="007C0ACA">
        <w:t xml:space="preserve"> (Aib)</w:t>
      </w:r>
      <w:r w:rsidR="00DE1BE8" w:rsidRPr="007C0ACA">
        <w:t xml:space="preserve">, which </w:t>
      </w:r>
      <w:r w:rsidR="00BF0879" w:rsidRPr="007C0ACA">
        <w:t>are</w:t>
      </w:r>
      <w:r w:rsidR="00DE1BE8" w:rsidRPr="007C0ACA">
        <w:t xml:space="preserve"> used </w:t>
      </w:r>
      <w:r w:rsidR="00BF0879" w:rsidRPr="007C0ACA">
        <w:t>due to</w:t>
      </w:r>
      <w:r w:rsidR="00DE1BE8" w:rsidRPr="007C0ACA">
        <w:t xml:space="preserve"> the</w:t>
      </w:r>
      <w:r w:rsidR="00BF0879" w:rsidRPr="007C0ACA">
        <w:t xml:space="preserve">ir </w:t>
      </w:r>
      <w:r w:rsidR="00DE1BE8" w:rsidRPr="007C0ACA">
        <w:t xml:space="preserve">strong helicogenic </w:t>
      </w:r>
      <w:r w:rsidR="00BF0879" w:rsidRPr="007C0ACA">
        <w:t>tendency, since</w:t>
      </w:r>
      <w:r w:rsidR="00DE1BE8" w:rsidRPr="007C0ACA">
        <w:t xml:space="preserve"> they </w:t>
      </w:r>
      <w:r w:rsidR="00B24A20" w:rsidRPr="007C0ACA">
        <w:t>can</w:t>
      </w:r>
      <w:r w:rsidR="00DE1BE8" w:rsidRPr="007C0ACA">
        <w:t xml:space="preserve"> promote helical folding in synthetic and natural sequences.</w:t>
      </w:r>
      <w:r w:rsidR="00761432" w:rsidRPr="007C0ACA">
        <w:rPr>
          <w:vertAlign w:val="superscript"/>
        </w:rPr>
        <w:fldChar w:fldCharType="begin" w:fldLock="1"/>
      </w:r>
      <w:r w:rsidR="00761432" w:rsidRPr="007C0ACA">
        <w:rPr>
          <w:vertAlign w:val="superscript"/>
        </w:rPr>
        <w:instrText>ADDIN CSL_CITATION {"citationItems":[{"id":"ITEM-1","itemData":{"DOI":"10.1002/cbdv.200890112","ISBN":"9180236006","ISSN":"16121872","abstract":"The α-aminoisobutyric (Aib) residue has generally been considered to be a strongly helicogenic residue as evidenced by its ability to promote helical folding in synthetic and natural sequences. Crystal structures of several peptide natural products, peptaibols, have revealed predominantly helical conformations, despite the presence of multiple helix-breaking Pro or Hyp residues. Survey of synthetic Aib-containing peptides shows a preponderance of 3 10 -, α-, and mixed 3 10 /α-helical structures. This review highlights the examples of Aib residues observed in nonhelical conformations, which fall 'primarily' into the polyproline II (P II ) and fully extended regions of conformational space. The achiral Aib residue can adopt both left (α L )- and right (α  R )-handed helical conformations. In sequences containing chiral amino acids, helix termination can occur by means of chiral reversal at an Aib residue, resulting in formation of a Schellman motif. Examples of Aib residues pinusual conformations are illustrated by surveying a database of Aib-containing crystal structures. © 2008 Verlag Helvetica Chimica Acta AG, Zürich.","author":[{"dropping-particle":"","family":"Aravinda","given":"Subrayashastry","non-dropping-particle":"","parse-names":false,"suffix":""},{"dropping-particle":"","family":"Shamala","given":"Narayanaswamy","non-dropping-particle":"","parse-names":false,"suffix":""},{"dropping-particle":"","family":"Balaram","given":"Padmanabhan","non-dropping-particle":"","parse-names":false,"suffix":""}],"container-title":"Chemistry and Biodiversity","id":"ITEM-1","issue":"7","issued":{"date-parts":[["2008"]]},"page":"1238-1262","title":"Aib residues in peptaibiotics and synthetic sequences: Analysis of nonhelical conformations","type":"article-journal","volume":"5"},"uris":["http://www.mendeley.com/documents/?uuid=9f7548cf-83cc-4ff4-b362-fb7bcc406267"]},{"id":"ITEM-2","itemData":{"DOI":"10.1007/s00894-013-1944-3","ISSN":"16102940","abstract":"The Bcl-2 family of proteins are well-characterized regulators of the intrinsic apoptotic pathway. Proteins within this family can be classified as either prosurvival or prodeath members and the balance between them present at the mitochondrial membrane is what determines if the cell lives or dies. Specific interactions among Bcl-2 family proteins play a crucial role in regulating programmed cell death. Structural studies have established a conserved interaction pattern among Bcl-2 family members. This interaction is mediated by the binding of the hydrophobic face of the amphipathic α-helical BH3 domain into a conserved hydrophobic groove on the prosurvival partners. It has been reported that an increase in the helical content of BH3 mimetic peptides considerably improves the binding affinity. In this context, this work states for designing peptides derived from the BH3 domain of the proapoptotic protein Bak by substitution of some non-interacting residues by the helical inducing residue Aib. Different synthetic peptides preserving BakBH3 relevant interactions were proposed and simulated presenting a better predicted binding energy and higher helical content than the wild type Bak peptide. © 2013 Springer-Verlag Berlin Heidelberg.","author":[{"dropping-particle":"","family":"Delgado-Soler","given":"Laura","non-dropping-particle":"","parse-names":false,"suffix":""},{"dropping-particle":"","family":"Mar Orzaez","given":"Maria","non-dropping-particle":"Del","parse-names":false,"suffix":""},{"dropping-particle":"","family":"Rubio-Martinez","given":"Jaime","non-dropping-particle":"","parse-names":false,"suffix":""}],"container-title":"Journal of Molecular Modeling","id":"ITEM-2","issue":"10","issued":{"date-parts":[["2013"]]},"page":"4305-4318","title":"Structure-based approach to the design of BakBH3 mimetic peptides with increased helical propensity","type":"article-journal","volume":"19"},"uris":["http://www.mendeley.com/documents/?uuid=0fc9f8d9-42b0-43f3-9c0b-64de8e0e43ef"]}],"mendeley":{"formattedCitation":"(33,34)","manualFormatting":"33,34","plainTextFormattedCitation":"(33,34)","previouslyFormattedCitation":"(33,34)"},"properties":{"noteIndex":0},"schema":"https://github.com/citation-style-language/schema/raw/master/csl-citation.json"}</w:instrText>
      </w:r>
      <w:r w:rsidR="00761432" w:rsidRPr="007C0ACA">
        <w:rPr>
          <w:vertAlign w:val="superscript"/>
        </w:rPr>
        <w:fldChar w:fldCharType="separate"/>
      </w:r>
      <w:r w:rsidR="00761432" w:rsidRPr="007C0ACA">
        <w:rPr>
          <w:noProof/>
          <w:vertAlign w:val="superscript"/>
        </w:rPr>
        <w:t>33,34</w:t>
      </w:r>
      <w:r w:rsidR="00761432" w:rsidRPr="007C0ACA">
        <w:rPr>
          <w:vertAlign w:val="superscript"/>
        </w:rPr>
        <w:fldChar w:fldCharType="end"/>
      </w:r>
      <w:r w:rsidR="00DE1BE8" w:rsidRPr="007C0ACA">
        <w:t xml:space="preserve"> This complex </w:t>
      </w:r>
      <w:r w:rsidR="00127ED0" w:rsidRPr="007C0ACA">
        <w:t>was</w:t>
      </w:r>
      <w:r w:rsidR="00DE1BE8" w:rsidRPr="007C0ACA">
        <w:t xml:space="preserve"> used to determine whether the use of BH3 mimetic peptides with an increased helical content </w:t>
      </w:r>
      <w:r w:rsidR="00B24A20" w:rsidRPr="007C0ACA">
        <w:t xml:space="preserve">can improve </w:t>
      </w:r>
      <w:r w:rsidR="00DE1BE8" w:rsidRPr="007C0ACA">
        <w:t xml:space="preserve">binding affinity. Moreover, it is important to analyse if these residues have any implication in </w:t>
      </w:r>
      <w:r w:rsidR="00B24A20" w:rsidRPr="007C0ACA">
        <w:t>molecular determinants of the Bak/BH3 interaction</w:t>
      </w:r>
      <w:r w:rsidR="00DE1BE8" w:rsidRPr="007C0ACA">
        <w:t xml:space="preserve">. </w:t>
      </w:r>
      <w:r w:rsidR="00127ED0" w:rsidRPr="007C0ACA">
        <w:t xml:space="preserve">Parametrization of the residue Aib was obtained from </w:t>
      </w:r>
      <w:r w:rsidR="00127ED0" w:rsidRPr="007C0ACA">
        <w:rPr>
          <w:i/>
        </w:rPr>
        <w:t>Bisetty et al.</w:t>
      </w:r>
      <w:r w:rsidR="00761432" w:rsidRPr="007C0ACA">
        <w:rPr>
          <w:vertAlign w:val="superscript"/>
        </w:rPr>
        <w:fldChar w:fldCharType="begin" w:fldLock="1"/>
      </w:r>
      <w:r w:rsidR="00761432" w:rsidRPr="007C0ACA">
        <w:rPr>
          <w:vertAlign w:val="superscript"/>
        </w:rPr>
        <w:instrText>ADDIN CSL_CITATION {"citationItems":[{"id":"ITEM-1","itemData":{"DOI":"10.1002/psc.526","ISSN":"10752617","author":[{"dropping-particle":"","family":"Bisetty","given":"Krishna","non-dropping-particle":"","parse-names":false,"suffix":""},{"dropping-particle":"","family":"Gomez-catalan","given":"Jesus","non-dropping-particle":"","parse-names":false,"suffix":""},{"dropping-particle":"","family":"Aleman","given":"Carlos","non-dropping-particle":"","parse-names":false,"suffix":""},{"dropping-particle":"","family":"Giralt","given":"Ernest","non-dropping-particle":"","parse-names":false,"suffix":""},{"dropping-particle":"","family":"Kruger","given":"G","non-dropping-particle":"","parse-names":false,"suffix":""}],"container-title":"Journal of Peptide Science","id":"ITEM-1","issue":"5","issued":{"date-parts":[["2004"]]},"page":"274-284","title":"Computational study of the conformational preferences of the (R)","type":"article-journal","volume":"10"},"uris":["http://www.mendeley.com/documents/?uuid=c01a63ef-f9c7-42ef-89ad-a6312b227191"]}],"mendeley":{"formattedCitation":"(35)","manualFormatting":"35","plainTextFormattedCitation":"(35)","previouslyFormattedCitation":"(35)"},"properties":{"noteIndex":0},"schema":"https://github.com/citation-style-language/schema/raw/master/csl-citation.json"}</w:instrText>
      </w:r>
      <w:r w:rsidR="00761432" w:rsidRPr="007C0ACA">
        <w:rPr>
          <w:vertAlign w:val="superscript"/>
        </w:rPr>
        <w:fldChar w:fldCharType="separate"/>
      </w:r>
      <w:r w:rsidR="00761432" w:rsidRPr="007C0ACA">
        <w:rPr>
          <w:noProof/>
          <w:vertAlign w:val="superscript"/>
        </w:rPr>
        <w:t>35</w:t>
      </w:r>
      <w:r w:rsidR="00761432" w:rsidRPr="007C0ACA">
        <w:rPr>
          <w:vertAlign w:val="superscript"/>
        </w:rPr>
        <w:fldChar w:fldCharType="end"/>
      </w:r>
    </w:p>
    <w:p w14:paraId="0496F4E4" w14:textId="0EEFA42B" w:rsidR="00DE1BE8" w:rsidRPr="007C0ACA" w:rsidRDefault="00DE1BE8" w:rsidP="00F972F9">
      <w:pPr>
        <w:pStyle w:val="Ttol3"/>
        <w:spacing w:after="120"/>
      </w:pPr>
      <w:bookmarkStart w:id="2" w:name="_Toc518637935"/>
      <w:r w:rsidRPr="007C0ACA">
        <w:t>Molecular dynamics of Bak and Bak/X Complexes</w:t>
      </w:r>
      <w:bookmarkEnd w:id="2"/>
    </w:p>
    <w:p w14:paraId="1A79BB6C" w14:textId="342E62DD" w:rsidR="002B642D" w:rsidRPr="007C0ACA" w:rsidRDefault="002B642D" w:rsidP="00C83B8A">
      <w:pPr>
        <w:ind w:firstLine="720"/>
        <w:rPr>
          <w:rFonts w:cstheme="minorHAnsi"/>
        </w:rPr>
      </w:pPr>
      <w:r w:rsidRPr="007C0ACA">
        <w:rPr>
          <w:rFonts w:cstheme="minorHAnsi"/>
        </w:rPr>
        <w:t xml:space="preserve">All calculations reported in the present work were performed </w:t>
      </w:r>
      <w:r w:rsidR="00C368EF" w:rsidRPr="007C0ACA">
        <w:rPr>
          <w:rFonts w:cstheme="minorHAnsi"/>
        </w:rPr>
        <w:t>with the PMEMD (Particle Mesh Ewald Molecular Dynamics) code of the AMBER16 software in its CUDA version</w:t>
      </w:r>
      <w:r w:rsidR="00761432" w:rsidRPr="007C0ACA">
        <w:rPr>
          <w:rFonts w:cstheme="minorHAnsi"/>
          <w:vertAlign w:val="superscript"/>
        </w:rPr>
        <w:fldChar w:fldCharType="begin" w:fldLock="1"/>
      </w:r>
      <w:r w:rsidR="007C3928" w:rsidRPr="007C0ACA">
        <w:rPr>
          <w:rFonts w:cstheme="minorHAnsi"/>
          <w:vertAlign w:val="superscript"/>
        </w:rPr>
        <w:instrText>ADDIN CSL_CITATION {"citationItems":[{"id":"ITEM-1","itemData":{"author":[{"dropping-particle":"","family":"Wang","given":"Junmei","non-dropping-particle":"","parse-names":false,"suffix":""},{"dropping-particle":"","family":"Wolf","given":"Romain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id":"ITEM-1","issued":{"date-parts":[["2004"]]},"title":"20035_Ftp","type":"article-journal","volume":"56531"},"uris":["http://www.mendeley.com/documents/?uuid=8a5d9cd4-638c-459b-81fe-023016e6cf1b"]}],"mendeley":{"formattedCitation":"(31)","manualFormatting":"31","plainTextFormattedCitation":"(31)","previouslyFormattedCitation":"(31)"},"properties":{"noteIndex":0},"schema":"https://github.com/citation-style-language/schema/raw/master/csl-citation.json"}</w:instrText>
      </w:r>
      <w:r w:rsidR="00761432" w:rsidRPr="007C0ACA">
        <w:rPr>
          <w:rFonts w:cstheme="minorHAnsi"/>
          <w:vertAlign w:val="superscript"/>
        </w:rPr>
        <w:fldChar w:fldCharType="separate"/>
      </w:r>
      <w:r w:rsidR="00761432" w:rsidRPr="007C0ACA">
        <w:rPr>
          <w:rFonts w:cstheme="minorHAnsi"/>
          <w:noProof/>
          <w:vertAlign w:val="superscript"/>
        </w:rPr>
        <w:t>31</w:t>
      </w:r>
      <w:r w:rsidR="00761432" w:rsidRPr="007C0ACA">
        <w:rPr>
          <w:rFonts w:cstheme="minorHAnsi"/>
          <w:vertAlign w:val="superscript"/>
        </w:rPr>
        <w:fldChar w:fldCharType="end"/>
      </w:r>
      <w:r w:rsidRPr="007C0ACA">
        <w:rPr>
          <w:rFonts w:cstheme="minorHAnsi"/>
        </w:rPr>
        <w:t xml:space="preserve"> </w:t>
      </w:r>
      <w:r w:rsidR="00C368EF" w:rsidRPr="007C0ACA">
        <w:rPr>
          <w:rFonts w:cstheme="minorHAnsi"/>
        </w:rPr>
        <w:t>using the AMBER ff14SB force field</w:t>
      </w:r>
      <w:r w:rsidR="00EC4A2D" w:rsidRPr="007C0ACA">
        <w:rPr>
          <w:rFonts w:cstheme="minorHAnsi"/>
        </w:rPr>
        <w:t>.</w:t>
      </w:r>
      <w:r w:rsidR="007C3928" w:rsidRPr="007C0ACA">
        <w:rPr>
          <w:rFonts w:cstheme="minorHAnsi"/>
          <w:vertAlign w:val="superscript"/>
        </w:rPr>
        <w:fldChar w:fldCharType="begin" w:fldLock="1"/>
      </w:r>
      <w:r w:rsidR="00176DC7" w:rsidRPr="007C0ACA">
        <w:rPr>
          <w:rFonts w:cstheme="minorHAnsi"/>
          <w:vertAlign w:val="superscript"/>
        </w:rPr>
        <w:instrText>ADDIN CSL_CITATION {"citationItems":[{"id":"ITEM-1","itemData":{"DOI":"10.1038/nbt.3301.Mammalian","author":[{"dropping-particle":"","family":"Wroblewska","given":"Liliana","non-dropping-particle":"","parse-names":false,"suffix":""},{"dropping-particle":"","family":"Kitada","given":"Tasuku","non-dropping-particle":"","parse-names":false,"suffix":""},{"dropping-particle":"","family":"Endo","given":"Kei","non-dropping-particle":"","parse-names":false,"suffix":""},{"dropping-particle":"","family":"Siciliano","given":"Velia","non-dropping-particle":"","parse-names":false,"suffix":""},{"dropping-particle":"","family":"Stillo","given":"Breanna","non-dropping-particle":"","parse-names":false,"suffix":""},{"dropping-particle":"","family":"Saito","given":"Hirohide","non-dropping-particle":"","parse-names":false,"suffix":""},{"dropping-particle":"","family":"Weiss","given":"Ron","non-dropping-particle":"","parse-names":false,"suffix":""}],"id":"ITEM-1","issue":"8","issued":{"date-parts":[["2016"]]},"page":"839-841","title":"HHS Public Access","type":"article-journal","volume":"33"},"uris":["http://www.mendeley.com/documents/?uuid=fa320767-cb24-48ac-977d-7a3975d3cc5c"]},{"id":"ITEM-2","itemData":{"DOI":"10.1002/prot.21123","ISSN":"08873585","abstract":"The ff94 force field that is commonly associated with the Amber simulation package is one of the most widely used parameter sets for biomolecular simulation. After a decade of extensive use and testing, limitations in this force field, such as over-stabilization of alpha-helices, were reported by us and other researchers. This led to a number of attempts to improve these parameters, resulting in a variety of \"Amber\" force fields and significant difficulty in determining which should be used for a particular application. We show that several of these continue to suffer from inadequate balance between different secondary structure elements. In addition, the approach used in most of these studies neglected to account for the existence in Amber of two sets of backbone phi/psi dihedral terms. This led to parameter sets that provide unreasonable conformational preferences for glycine. We report here an effort to improve the phi/psi dihedral terms in the ff99 energy function. Dihedral term parameters are based on fitting the energies of multiple conformations of glycine and alanine tetrapeptides from high level ab initio quantum mechanical calculations. The new parameters for backbone dihedrals replace those in the existing ff99 force field. This parameter set, which we denote ff99SB, achieves a better balance of secondary structure elements as judged by improved distribution of backbone dihedrals for glycine and alanine with respect to PDB survey data. It also accomplishes improved agreement with published experimental data for conformational preferences of short alanine peptides and better accord with experimental NMR relaxation data of test protein systems.","author":[{"dropping-particle":"","family":"Hornak","given":"Viktor","non-dropping-particle":"","parse-names":false,"suffix":""},{"dropping-particle":"","family":"Abel","given":"Robert","non-dropping-particle":"","parse-names":false,"suffix":""},{"dropping-particle":"","family":"Okur","given":"Asim","non-dropping-particle":"","parse-names":false,"suffix":""},{"dropping-particle":"","family":"Strockbine","given":"Bentley","non-dropping-particle":"","parse-names":false,"suffix":""},{"dropping-particle":"","family":"Roitberg","given":"Adrian","non-dropping-particle":"","parse-names":false,"suffix":""},{"dropping-particle":"","family":"Simmerling","given":"Carlos","non-dropping-particle":"","parse-names":false,"suffix":""}],"container-title":"Proteins: Structure, Function and Genetics","id":"ITEM-2","issue":"3","issued":{"date-parts":[["2006"]]},"page":"712-725","title":"Comparison of multiple amber force fields and development of improved protein backbone parameters","type":"article-journal","volume":"65"},"uris":["http://www.mendeley.com/documents/?uuid=fdd177df-da12-4b3d-9cb7-9b34bd48a4a4"]}],"mendeley":{"formattedCitation":"(36,37)","manualFormatting":"36,37","plainTextFormattedCitation":"(36,37)","previouslyFormattedCitation":"(36,37)"},"properties":{"noteIndex":0},"schema":"https://github.com/citation-style-language/schema/raw/master/csl-citation.json"}</w:instrText>
      </w:r>
      <w:r w:rsidR="007C3928" w:rsidRPr="007C0ACA">
        <w:rPr>
          <w:rFonts w:cstheme="minorHAnsi"/>
          <w:vertAlign w:val="superscript"/>
        </w:rPr>
        <w:fldChar w:fldCharType="separate"/>
      </w:r>
      <w:r w:rsidR="007C3928" w:rsidRPr="007C0ACA">
        <w:rPr>
          <w:rFonts w:cstheme="minorHAnsi"/>
          <w:noProof/>
          <w:vertAlign w:val="superscript"/>
        </w:rPr>
        <w:t>36,37</w:t>
      </w:r>
      <w:r w:rsidR="007C3928" w:rsidRPr="007C0ACA">
        <w:rPr>
          <w:rFonts w:cstheme="minorHAnsi"/>
          <w:vertAlign w:val="superscript"/>
        </w:rPr>
        <w:fldChar w:fldCharType="end"/>
      </w:r>
    </w:p>
    <w:p w14:paraId="2E3D756B" w14:textId="3370F351" w:rsidR="00DE1BE8" w:rsidRPr="007C0ACA" w:rsidRDefault="00DE1BE8" w:rsidP="00C55071">
      <w:pPr>
        <w:spacing w:line="276" w:lineRule="auto"/>
        <w:ind w:firstLine="720"/>
        <w:jc w:val="both"/>
        <w:rPr>
          <w:rFonts w:cstheme="minorHAnsi"/>
        </w:rPr>
      </w:pPr>
      <w:r w:rsidRPr="007C0ACA">
        <w:t xml:space="preserve">Before performing molecular dynamics (MD) simulations, each system was first relaxed. Systems </w:t>
      </w:r>
      <w:r w:rsidR="00D12497" w:rsidRPr="007C0ACA">
        <w:t>were</w:t>
      </w:r>
      <w:r w:rsidRPr="007C0ACA">
        <w:t xml:space="preserve"> </w:t>
      </w:r>
      <w:r w:rsidR="00D12497" w:rsidRPr="007C0ACA">
        <w:t>soaked</w:t>
      </w:r>
      <w:r w:rsidRPr="007C0ACA">
        <w:t xml:space="preserve"> </w:t>
      </w:r>
      <w:r w:rsidR="00ED1E17" w:rsidRPr="007C0ACA">
        <w:t>in a cubic box</w:t>
      </w:r>
      <w:r w:rsidR="00D12497" w:rsidRPr="007C0ACA">
        <w:t>,</w:t>
      </w:r>
      <w:r w:rsidR="00ED1E17" w:rsidRPr="007C0ACA">
        <w:t xml:space="preserve"> </w:t>
      </w:r>
      <w:r w:rsidRPr="007C0ACA">
        <w:t>using TIP3P</w:t>
      </w:r>
      <w:r w:rsidR="00176DC7" w:rsidRPr="007C0ACA">
        <w:fldChar w:fldCharType="begin" w:fldLock="1"/>
      </w:r>
      <w:r w:rsidR="00CE70A3" w:rsidRPr="007C0ACA">
        <w:instrText>ADDIN CSL_CITATION {"citationItems":[{"id":"ITEM-1","itemData":{"DOI":"10.1063/1.445869","ISSN":"00219606","abstract":"Classical Monte Carlo simulations have been carried out for liquid water in the NPT ensemble at 25 °C and 1 atm using six of the simpler intermolecular potential functions for the water dimer: Bernal-Fowler (BF), SPC, ST2, TIPS2, TIP3P, and TIP4P. Comparisons are made with experimental thermodynamic and structural data including the recent neutron diffraction results of Thiessen and Narten. The computed densities and potential energies are in reasonable accord with experiment except for the original BF model, which yields an 18% overestimate of the density and poor structural results. The TIPS2 and TIP4P potentials yield oxygen-oxygen partial structure functions in good agreement with the neutron diffraction results. The accord with the experimental OH and HH partial structure functions is poorer; however, the computed results for these functions are similar for all the potential functions. Consequently, the discrepancy may be due to the correction terms needed in processing the neutron data or to an effect uniformly neglected in the computations. Comparisons are also made for self-diffusion coefficients obtained from molecular dynamics simulations. Overall, the SPC, ST2, TIPS2, and TIP4P models give reasonable structural and thermodynamic descriptions of liquid water and they should be useful in simulations of aqueous solutions. The simplicity of the SPC, TIPS2, and TIP4P functions is also attractive from a computational standpoint. © 1983 American Institute of Physics.","author":[{"dropping-particle":"","family":"Jorgensen","given":"William L.","non-dropping-particle":"","parse-names":false,"suffix":""},{"dropping-particle":"","family":"Chandrasekhar","given":"Jayaraman","non-dropping-particle":"","parse-names":false,"suffix":""},{"dropping-particle":"","family":"Madura","given":"Jeffry D.","non-dropping-particle":"","parse-names":false,"suffix":""},{"dropping-particle":"","family":"Impey","given":"Roger W.","non-dropping-particle":"","parse-names":false,"suffix":""},{"dropping-particle":"","family":"Klein","given":"Michael L.","non-dropping-particle":"","parse-names":false,"suffix":""}],"container-title":"The Journal of Chemical Physics","id":"ITEM-1","issue":"2","issued":{"date-parts":[["1983"]]},"page":"926-935","title":"Comparison of simple potential functions for simulating liquid water","type":"article-journal","volume":"79"},"uris":["http://www.mendeley.com/documents/?uuid=523a5bda-92a9-4a10-b1de-e82bbc4158b4"]}],"mendeley":{"formattedCitation":"(38)","manualFormatting":"38","plainTextFormattedCitation":"(38)","previouslyFormattedCitation":"(38)"},"properties":{"noteIndex":0},"schema":"https://github.com/citation-style-language/schema/raw/master/csl-citation.json"}</w:instrText>
      </w:r>
      <w:r w:rsidR="00176DC7" w:rsidRPr="007C0ACA">
        <w:fldChar w:fldCharType="separate"/>
      </w:r>
      <w:r w:rsidR="00176DC7" w:rsidRPr="007C0ACA">
        <w:rPr>
          <w:noProof/>
          <w:vertAlign w:val="superscript"/>
        </w:rPr>
        <w:t>38</w:t>
      </w:r>
      <w:r w:rsidR="00176DC7" w:rsidRPr="007C0ACA">
        <w:fldChar w:fldCharType="end"/>
      </w:r>
      <w:r w:rsidR="00D12497" w:rsidRPr="007C0ACA">
        <w:rPr>
          <w:vertAlign w:val="superscript"/>
        </w:rPr>
        <w:t xml:space="preserve"> </w:t>
      </w:r>
      <w:r w:rsidRPr="007C0ACA">
        <w:t xml:space="preserve">explicit water molecules </w:t>
      </w:r>
      <w:r w:rsidR="00D12497" w:rsidRPr="007C0ACA">
        <w:t>with</w:t>
      </w:r>
      <w:r w:rsidRPr="007C0ACA">
        <w:t xml:space="preserve"> periodic boundary conditions. </w:t>
      </w:r>
      <w:r w:rsidR="00D12497" w:rsidRPr="007C0ACA">
        <w:t>M</w:t>
      </w:r>
      <w:r w:rsidRPr="007C0ACA">
        <w:t xml:space="preserve">inimizations were </w:t>
      </w:r>
      <w:r w:rsidR="00D12497" w:rsidRPr="007C0ACA">
        <w:t>carried out stepwisely</w:t>
      </w:r>
      <w:r w:rsidRPr="007C0ACA">
        <w:t xml:space="preserve">: </w:t>
      </w:r>
      <w:r w:rsidR="00D12497" w:rsidRPr="007C0ACA">
        <w:t>first, positions of the water molecules and ions were optimized using the steepest descent (SD) algorithm</w:t>
      </w:r>
      <w:r w:rsidR="00CE70A3" w:rsidRPr="007C0ACA">
        <w:rPr>
          <w:vertAlign w:val="superscript"/>
        </w:rPr>
        <w:fldChar w:fldCharType="begin" w:fldLock="1"/>
      </w:r>
      <w:r w:rsidR="002F005C" w:rsidRPr="007C0ACA">
        <w:rPr>
          <w:vertAlign w:val="superscript"/>
        </w:rPr>
        <w:instrText>ADDIN CSL_CITATION {"citationItems":[{"id":"ITEM-1","itemData":{"ISBN":"9781536134117","abstract":"Now in its 7th edition, Mathematical Methods for Physicists continues to provide all the mathematical methods that aspiring scientists and engineers are likely to encounter as students and beginning researchers. This bestselling text provides mathematical relations and their proofs essential to the study of physics and related fields. While retaining the key features of the 6th edition, the new edition provides a more careful balance of explanation, theory, and examples. Taking a problem-solving-skills approach to incorporating theorems with applications, the book's improved focus will help students succeed throughout their academic careers and well into their professions. Some notable enhancements include more refined and focused content in important topics, improved organization, updated notations, extensive explanations and intuitive exercise sets, a wider range of problem solutions, improvement in the placement, and a wider range of difficulty of exercises. * Revised and updated version of the leading text in mathematical physics * Focuses on problem-solving skills and active learning, offering numerous chapter problems * Clearly identified definitions, theorems, and proofs promote clarity and understanding New to this edition: * Improved modular chapters * New up-to-date examples * More intuitive explanations. © 2013 Elsevier Inc. All rights reserved.","author":[{"dropping-particle":"","family":"Pommaret","given":"Jean Francois","non-dropping-particle":"","parse-names":false,"suffix":""}],"container-title":"New Mathematical Methods for Physics","id":"ITEM-1","issued":{"date-parts":[["2018"]]},"number-of-pages":"1-189","title":"New mathematical methods for physics","type":"book"},"uris":["http://www.mendeley.com/documents/?uuid=c50c467a-bde6-46e3-9eec-752a09d0f41e"]}],"mendeley":{"formattedCitation":"(39)","manualFormatting":"39","plainTextFormattedCitation":"(39)","previouslyFormattedCitation":"(39)"},"properties":{"noteIndex":0},"schema":"https://github.com/citation-style-language/schema/raw/master/csl-citation.json"}</w:instrText>
      </w:r>
      <w:r w:rsidR="00CE70A3" w:rsidRPr="007C0ACA">
        <w:rPr>
          <w:vertAlign w:val="superscript"/>
        </w:rPr>
        <w:fldChar w:fldCharType="separate"/>
      </w:r>
      <w:r w:rsidR="00CE70A3" w:rsidRPr="007C0ACA">
        <w:rPr>
          <w:noProof/>
          <w:vertAlign w:val="superscript"/>
        </w:rPr>
        <w:t>39</w:t>
      </w:r>
      <w:r w:rsidR="00CE70A3" w:rsidRPr="007C0ACA">
        <w:rPr>
          <w:vertAlign w:val="superscript"/>
        </w:rPr>
        <w:fldChar w:fldCharType="end"/>
      </w:r>
      <w:r w:rsidR="00D12497" w:rsidRPr="007C0ACA">
        <w:t xml:space="preserve"> up to</w:t>
      </w:r>
      <w:r w:rsidRPr="007C0ACA">
        <w:t xml:space="preserve"> 5000 cycles </w:t>
      </w:r>
      <w:r w:rsidR="00283C80" w:rsidRPr="007C0ACA">
        <w:t xml:space="preserve"> of minimization,</w:t>
      </w:r>
      <w:r w:rsidRPr="007C0ACA">
        <w:t xml:space="preserve"> keeping fixed the rest of the system; in </w:t>
      </w:r>
      <w:r w:rsidR="00283C80" w:rsidRPr="007C0ACA">
        <w:t>a</w:t>
      </w:r>
      <w:r w:rsidRPr="007C0ACA">
        <w:t xml:space="preserve"> second step, relaxation of the modelled residues </w:t>
      </w:r>
      <w:r w:rsidR="00283C80" w:rsidRPr="007C0ACA">
        <w:t xml:space="preserve">was carried out </w:t>
      </w:r>
      <w:r w:rsidRPr="007C0ACA">
        <w:t xml:space="preserve">in two stages, each one of 5000 cycles of </w:t>
      </w:r>
      <w:r w:rsidR="00283C80" w:rsidRPr="007C0ACA">
        <w:t>SD</w:t>
      </w:r>
      <w:r w:rsidRPr="007C0ACA">
        <w:t xml:space="preserve">, keeping fixed backbone </w:t>
      </w:r>
      <w:r w:rsidR="00283C80" w:rsidRPr="007C0ACA">
        <w:t xml:space="preserve">positions </w:t>
      </w:r>
      <w:r w:rsidRPr="007C0ACA">
        <w:t>of the modelled residues and using a decreasing force constant of 5</w:t>
      </w:r>
      <w:r w:rsidR="00ED1E17" w:rsidRPr="007C0ACA">
        <w:t>.</w:t>
      </w:r>
      <w:r w:rsidRPr="007C0ACA">
        <w:t xml:space="preserve">0 </w:t>
      </w:r>
      <w:r w:rsidR="00A7176A" w:rsidRPr="007C0ACA">
        <w:t xml:space="preserve"> </w:t>
      </w:r>
      <w:r w:rsidRPr="007C0ACA">
        <w:t>and 0</w:t>
      </w:r>
      <w:r w:rsidR="00ED1E17" w:rsidRPr="007C0ACA">
        <w:t>.</w:t>
      </w:r>
      <w:r w:rsidRPr="007C0ACA">
        <w:t xml:space="preserve">1 </w:t>
      </w:r>
      <w:r w:rsidRPr="007C0ACA">
        <w:rPr>
          <w:rFonts w:cstheme="minorHAnsi"/>
        </w:rPr>
        <w:t xml:space="preserve">kcal/Å; </w:t>
      </w:r>
      <w:r w:rsidR="00283C80" w:rsidRPr="007C0ACA">
        <w:rPr>
          <w:rFonts w:cstheme="minorHAnsi"/>
        </w:rPr>
        <w:t xml:space="preserve">in </w:t>
      </w:r>
      <w:r w:rsidRPr="007C0ACA">
        <w:rPr>
          <w:rFonts w:cstheme="minorHAnsi"/>
        </w:rPr>
        <w:t>the</w:t>
      </w:r>
      <w:r w:rsidRPr="007C0ACA">
        <w:t xml:space="preserve"> last step</w:t>
      </w:r>
      <w:r w:rsidR="00C10040" w:rsidRPr="007C0ACA">
        <w:t>,</w:t>
      </w:r>
      <w:r w:rsidRPr="007C0ACA">
        <w:t xml:space="preserve"> the minimization of the whole system </w:t>
      </w:r>
      <w:r w:rsidR="00C10040" w:rsidRPr="007C0ACA">
        <w:t xml:space="preserve">was carried out </w:t>
      </w:r>
      <w:r w:rsidRPr="007C0ACA">
        <w:t xml:space="preserve">without </w:t>
      </w:r>
      <w:r w:rsidR="00C10040" w:rsidRPr="007C0ACA">
        <w:t xml:space="preserve">any </w:t>
      </w:r>
      <w:r w:rsidRPr="007C0ACA">
        <w:t xml:space="preserve">restrictions using 10000 cycles of </w:t>
      </w:r>
      <w:r w:rsidR="00C10040" w:rsidRPr="007C0ACA">
        <w:t>SD</w:t>
      </w:r>
      <w:r w:rsidRPr="007C0ACA">
        <w:t xml:space="preserve"> method. </w:t>
      </w:r>
    </w:p>
    <w:p w14:paraId="06CE5241" w14:textId="64C6A97E" w:rsidR="00DE1BE8" w:rsidRPr="007C0ACA" w:rsidRDefault="00DE1BE8" w:rsidP="00C55071">
      <w:pPr>
        <w:spacing w:line="276" w:lineRule="auto"/>
        <w:ind w:firstLine="720"/>
        <w:jc w:val="both"/>
      </w:pPr>
      <w:r w:rsidRPr="007C0ACA">
        <w:rPr>
          <w:rFonts w:cstheme="minorHAnsi"/>
        </w:rPr>
        <w:t xml:space="preserve">After minimization, systems were heated </w:t>
      </w:r>
      <w:r w:rsidR="00C10040" w:rsidRPr="007C0ACA">
        <w:rPr>
          <w:rFonts w:cstheme="minorHAnsi"/>
        </w:rPr>
        <w:t>in steps of</w:t>
      </w:r>
      <w:r w:rsidRPr="007C0ACA">
        <w:rPr>
          <w:rFonts w:cstheme="minorHAnsi"/>
        </w:rPr>
        <w:t xml:space="preserve"> 30 K every 20 ps, maintaining all backbone atoms constrained with a force constant of 1</w:t>
      </w:r>
      <w:r w:rsidR="006F6369" w:rsidRPr="007C0ACA">
        <w:rPr>
          <w:rFonts w:cstheme="minorHAnsi"/>
        </w:rPr>
        <w:t>.</w:t>
      </w:r>
      <w:r w:rsidRPr="007C0ACA">
        <w:rPr>
          <w:rFonts w:cstheme="minorHAnsi"/>
        </w:rPr>
        <w:t xml:space="preserve">0 kcal/mol·Å. </w:t>
      </w:r>
      <w:r w:rsidR="00C10040" w:rsidRPr="007C0ACA">
        <w:rPr>
          <w:rFonts w:cstheme="minorHAnsi"/>
        </w:rPr>
        <w:t>The heating process was</w:t>
      </w:r>
      <w:r w:rsidRPr="007C0ACA">
        <w:rPr>
          <w:rFonts w:cstheme="minorHAnsi"/>
        </w:rPr>
        <w:t xml:space="preserve"> performed under the canonical (NVT) ensemble. Once the systems </w:t>
      </w:r>
      <w:r w:rsidR="00C10040" w:rsidRPr="007C0ACA">
        <w:rPr>
          <w:rFonts w:cstheme="minorHAnsi"/>
        </w:rPr>
        <w:t>were</w:t>
      </w:r>
      <w:r w:rsidRPr="007C0ACA">
        <w:rPr>
          <w:rFonts w:cstheme="minorHAnsi"/>
        </w:rPr>
        <w:t xml:space="preserve"> heated, a 200 ps simulation at constant pressure (NPT ensemble) was performed for density equilibration. </w:t>
      </w:r>
      <w:r w:rsidR="00C10040" w:rsidRPr="007C0ACA">
        <w:rPr>
          <w:rFonts w:cstheme="minorHAnsi"/>
        </w:rPr>
        <w:t xml:space="preserve">The </w:t>
      </w:r>
      <w:r w:rsidR="00553451" w:rsidRPr="007C0ACA">
        <w:rPr>
          <w:rFonts w:cstheme="minorHAnsi"/>
        </w:rPr>
        <w:t xml:space="preserve">final </w:t>
      </w:r>
      <w:r w:rsidR="00C10040" w:rsidRPr="007C0ACA">
        <w:rPr>
          <w:rFonts w:cstheme="minorHAnsi"/>
        </w:rPr>
        <w:t xml:space="preserve">structures </w:t>
      </w:r>
      <w:r w:rsidRPr="007C0ACA">
        <w:rPr>
          <w:rFonts w:cstheme="minorHAnsi"/>
        </w:rPr>
        <w:t>were used as starting points for MD simulations. Trajectories were performed at 300 K by coupling the system to a thermal bath</w:t>
      </w:r>
      <w:r w:rsidR="00C10040" w:rsidRPr="007C0ACA">
        <w:rPr>
          <w:rFonts w:cstheme="minorHAnsi"/>
        </w:rPr>
        <w:t>,</w:t>
      </w:r>
      <w:r w:rsidRPr="007C0ACA">
        <w:rPr>
          <w:rFonts w:cstheme="minorHAnsi"/>
        </w:rPr>
        <w:t xml:space="preserve"> using the Langevin thermostat.</w:t>
      </w:r>
      <w:r w:rsidR="002F005C" w:rsidRPr="007C0ACA">
        <w:rPr>
          <w:rFonts w:cstheme="minorHAnsi"/>
          <w:vertAlign w:val="superscript"/>
        </w:rPr>
        <w:fldChar w:fldCharType="begin" w:fldLock="1"/>
      </w:r>
      <w:r w:rsidR="002F005C" w:rsidRPr="007C0ACA">
        <w:rPr>
          <w:rFonts w:cstheme="minorHAnsi"/>
          <w:vertAlign w:val="superscript"/>
        </w:rPr>
        <w:instrText>ADDIN CSL_CITATION {"citationItems":[{"id":"ITEM-1","itemData":{"DOI":"10.1093/oso/9780198803195.001.0001","ISBN":"9780198803195","abstract":"The objective of this paper is to compare the spectral features of the recently derived Group Sunspot Numbers (R        G) and the traditional Wolf Sunspot Numbers (R        Z) for the 1700–1995 period. In order to study the spectral features of both time series, two methods were used, including: (a) the multitaper analysis and (b) the wavelet analysis. Well-known features of the solar variability, such as the 98.6-yr (Gleissberg cycle), 10–11-yr (Schwabe cycle) and 5-yr (second solar harmonic) periodicities were identified with high confidence using the multitaper analysis. Also observed was a larger amount of power spread in high frequencies for R        Z than for R        G spectra. Furthermore, a multitaper analysis of two subsets, A (1700–1850) and B (1851–1995), has indicated that the main differences occurred in the first subset and seem to be due to uncertainties in the early observations. The wavelet transform, which allows observing the spectra evolution of both series, showed a strong and persistent 10–11-yr signal that remained during the whole period. The Meyer Wavelet Transform was applied to both R        Z and R        G. This study indicates that the main spectral characteristics of both series are similar and that their long-term variability has the same behavior.","author":[{"dropping-particle":"","family":"Allen","given":"Michael P.","non-dropping-particle":"","parse-names":false,"suffix":""},{"dropping-particle":"","family":"Tildesley","given":"Dominic J.","non-dropping-particle":"","parse-names":false,"suffix":""}],"container-title":"Computer Simulation of Liquids: Second Edition","id":"ITEM-1","issued":{"date-parts":[["2017"]]},"page":"1-626","title":"Computer simulation of liquids: Second edition","type":"article-journal"},"uris":["http://www.mendeley.com/documents/?uuid=8d9c4346-767d-4809-854a-8329e3e4a1e5"]}],"mendeley":{"formattedCitation":"(40)","manualFormatting":"40","plainTextFormattedCitation":"(40)","previouslyFormattedCitation":"(40)"},"properties":{"noteIndex":0},"schema":"https://github.com/citation-style-language/schema/raw/master/csl-citation.json"}</w:instrText>
      </w:r>
      <w:r w:rsidR="002F005C" w:rsidRPr="007C0ACA">
        <w:rPr>
          <w:rFonts w:cstheme="minorHAnsi"/>
          <w:vertAlign w:val="superscript"/>
        </w:rPr>
        <w:fldChar w:fldCharType="separate"/>
      </w:r>
      <w:r w:rsidR="002F005C" w:rsidRPr="007C0ACA">
        <w:rPr>
          <w:rFonts w:cstheme="minorHAnsi"/>
          <w:noProof/>
          <w:vertAlign w:val="superscript"/>
        </w:rPr>
        <w:t>40</w:t>
      </w:r>
      <w:r w:rsidR="002F005C" w:rsidRPr="007C0ACA">
        <w:rPr>
          <w:rFonts w:cstheme="minorHAnsi"/>
          <w:vertAlign w:val="superscript"/>
        </w:rPr>
        <w:fldChar w:fldCharType="end"/>
      </w:r>
      <w:r w:rsidRPr="007C0ACA">
        <w:rPr>
          <w:rFonts w:cstheme="minorHAnsi"/>
        </w:rPr>
        <w:t xml:space="preserve"> All bonds involving hydrogen atoms were </w:t>
      </w:r>
      <w:r w:rsidR="006F6369" w:rsidRPr="007C0ACA">
        <w:rPr>
          <w:rFonts w:cstheme="minorHAnsi"/>
        </w:rPr>
        <w:t xml:space="preserve">fixed </w:t>
      </w:r>
      <w:r w:rsidRPr="007C0ACA">
        <w:rPr>
          <w:rFonts w:cstheme="minorHAnsi"/>
        </w:rPr>
        <w:t>using the SHAKE algorithm,</w:t>
      </w:r>
      <w:r w:rsidR="002F005C" w:rsidRPr="007C0ACA">
        <w:rPr>
          <w:rFonts w:cstheme="minorHAnsi"/>
          <w:vertAlign w:val="superscript"/>
        </w:rPr>
        <w:fldChar w:fldCharType="begin" w:fldLock="1"/>
      </w:r>
      <w:r w:rsidR="002F005C" w:rsidRPr="007C0ACA">
        <w:rPr>
          <w:rFonts w:cstheme="minorHAnsi"/>
          <w:vertAlign w:val="superscript"/>
        </w:rPr>
        <w:instrText>ADDIN CSL_CITATION {"citationItems":[{"id":"ITEM-1","itemData":{"DOI":"10.1016/0021-9991(77)90098-5","ISSN":"10902716","abstract":"A numerical algorithm integrating the 3N Cartesian equations of motion of a system of N points subject to holonomic constraints is formulated. The relations of constraint remain perfectly fulfilled at each step of the trajectory despite the approximate character of numerical integration. The method is applied to a molecular dynamics simulation of a liquid of 64 n-butane molecules and compared to a simulation using generalized coordinates. The method should be useful for molecular dynamics calculations on large molecules with internal degrees of freedom. © 1977.","author":[{"dropping-particle":"","family":"Ryckaert","given":"Jean Paul","non-dropping-particle":"","parse-names":false,"suffix":""},{"dropping-particle":"","family":"Ciccotti","given":"Giovanni","non-dropping-particle":"","parse-names":false,"suffix":""},{"dropping-particle":"","family":"Berendsen","given":"Herman J.C.","non-dropping-particle":"","parse-names":false,"suffix":""}],"container-title":"Journal of Computational Physics","id":"ITEM-1","issue":"3","issued":{"date-parts":[["1977"]]},"page":"327-341","title":"Numerical integration of the cartesian equations of motion of a system with constraints: molecular dynamics of n-alkanes","type":"article-journal","volume":"23"},"uris":["http://www.mendeley.com/documents/?uuid=20099e36-5d04-41c3-93e4-2d87bfa36c1d"]}],"mendeley":{"formattedCitation":"(41)","manualFormatting":"41","plainTextFormattedCitation":"(41)","previouslyFormattedCitation":"(41)"},"properties":{"noteIndex":0},"schema":"https://github.com/citation-style-language/schema/raw/master/csl-citation.json"}</w:instrText>
      </w:r>
      <w:r w:rsidR="002F005C" w:rsidRPr="007C0ACA">
        <w:rPr>
          <w:rFonts w:cstheme="minorHAnsi"/>
          <w:vertAlign w:val="superscript"/>
        </w:rPr>
        <w:fldChar w:fldCharType="separate"/>
      </w:r>
      <w:r w:rsidR="002F005C" w:rsidRPr="007C0ACA">
        <w:rPr>
          <w:rFonts w:cstheme="minorHAnsi"/>
          <w:noProof/>
          <w:vertAlign w:val="superscript"/>
        </w:rPr>
        <w:t>41</w:t>
      </w:r>
      <w:r w:rsidR="002F005C" w:rsidRPr="007C0ACA">
        <w:rPr>
          <w:rFonts w:cstheme="minorHAnsi"/>
          <w:vertAlign w:val="superscript"/>
        </w:rPr>
        <w:fldChar w:fldCharType="end"/>
      </w:r>
      <w:r w:rsidRPr="007C0ACA">
        <w:rPr>
          <w:rFonts w:cstheme="minorHAnsi"/>
        </w:rPr>
        <w:t xml:space="preserve"> </w:t>
      </w:r>
      <w:r w:rsidR="00C10040" w:rsidRPr="007C0ACA">
        <w:rPr>
          <w:rFonts w:cstheme="minorHAnsi"/>
        </w:rPr>
        <w:t>which allowed us</w:t>
      </w:r>
      <w:r w:rsidRPr="007C0ACA">
        <w:rPr>
          <w:rFonts w:cstheme="minorHAnsi"/>
        </w:rPr>
        <w:t xml:space="preserve"> to use </w:t>
      </w:r>
      <w:r w:rsidR="006F6369" w:rsidRPr="007C0ACA">
        <w:rPr>
          <w:rFonts w:cstheme="minorHAnsi"/>
        </w:rPr>
        <w:t xml:space="preserve">a </w:t>
      </w:r>
      <w:r w:rsidRPr="007C0ACA">
        <w:rPr>
          <w:rFonts w:cstheme="minorHAnsi"/>
        </w:rPr>
        <w:t xml:space="preserve">time step of 2 fs in all the simulations. Non-bonded interactions were truncated using a cutoff of 9 Å, and long-range interactions were treated with the </w:t>
      </w:r>
      <w:r w:rsidRPr="007C0ACA">
        <w:rPr>
          <w:rFonts w:cstheme="minorHAnsi"/>
        </w:rPr>
        <w:lastRenderedPageBreak/>
        <w:t>particle-mesh Ewald summation</w:t>
      </w:r>
      <w:r w:rsidR="00FB424E" w:rsidRPr="007C0ACA">
        <w:rPr>
          <w:rFonts w:cstheme="minorHAnsi"/>
        </w:rPr>
        <w:t xml:space="preserve"> method</w:t>
      </w:r>
      <w:r w:rsidRPr="007C0ACA">
        <w:rPr>
          <w:rFonts w:cstheme="minorHAnsi"/>
        </w:rPr>
        <w:t>.</w:t>
      </w:r>
      <w:r w:rsidR="002F005C" w:rsidRPr="007C0ACA">
        <w:rPr>
          <w:rFonts w:cstheme="minorHAnsi"/>
          <w:vertAlign w:val="superscript"/>
        </w:rPr>
        <w:fldChar w:fldCharType="begin" w:fldLock="1"/>
      </w:r>
      <w:r w:rsidR="002F005C" w:rsidRPr="007C0ACA">
        <w:rPr>
          <w:rFonts w:cstheme="minorHAnsi"/>
          <w:vertAlign w:val="superscript"/>
        </w:rPr>
        <w:instrText>ADDIN CSL_CITATION {"citationItems":[{"id":"ITEM-1","itemData":{"DOI":"10.1063/1.464397","ISSN":"00219606","abstract":"An N</w:instrText>
      </w:r>
      <w:r w:rsidR="002F005C" w:rsidRPr="007C0ACA">
        <w:rPr>
          <w:rFonts w:ascii="Cambria Math" w:hAnsi="Cambria Math" w:cs="Cambria Math"/>
          <w:vertAlign w:val="superscript"/>
        </w:rPr>
        <w:instrText>⋅</w:instrText>
      </w:r>
      <w:r w:rsidR="002F005C" w:rsidRPr="007C0ACA">
        <w:rPr>
          <w:rFonts w:cstheme="minorHAnsi"/>
          <w:vertAlign w:val="superscript"/>
        </w:rPr>
        <w:instrText>log(N) method for evaluating electrostatic energies and forces of large periodic systems is presented. The method is based on interpolation of the reciprocal space Ewald sums and evaluation of the resulting convolutions using fast Fourier transforms. Timings and accuracies are presented for three large crystalline ionic systems.","author":[{"dropping-particle":"","family":"Darden","given":"Tom","non-dropping-particle":"","parse-names":false,"suffix":""},{"dropping-particle":"","family":"York","given":"Darrin","non-dropping-particle":"","parse-names":false,"suffix":""},{"dropping-particle":"","family":"Pedersen","given":"Lee","non-dropping-particle":"","parse-names":false,"suffix":""}],"container-title":"The Journal of Chemical Physics","id":"ITEM-1","issue":"12","issued":{"date-parts":[["1993"]]},"page":"10089-10092","title":"Particle mesh Ewald: An N·log(N) method for Ewald sums in large systems","type":"article-journal","volume":"98"},"uris":["http://www.mendeley.com/documents/?uuid=0890197c-4301-42fb-bb8d-199645f10042"]}],"mendeley":{"formattedCitation":"(42)","manualFormatting":"42","plainTextFormattedCitation":"(42)","previouslyFormattedCitation":"(42)"},"properties":{"noteIndex":0},"schema":"https://github.com/citation-style-language/schema/raw/master/csl-citation.json"}</w:instrText>
      </w:r>
      <w:r w:rsidR="002F005C" w:rsidRPr="007C0ACA">
        <w:rPr>
          <w:rFonts w:cstheme="minorHAnsi"/>
          <w:vertAlign w:val="superscript"/>
        </w:rPr>
        <w:fldChar w:fldCharType="separate"/>
      </w:r>
      <w:r w:rsidR="002F005C" w:rsidRPr="007C0ACA">
        <w:rPr>
          <w:rFonts w:cstheme="minorHAnsi"/>
          <w:noProof/>
          <w:vertAlign w:val="superscript"/>
        </w:rPr>
        <w:t>42</w:t>
      </w:r>
      <w:r w:rsidR="002F005C" w:rsidRPr="007C0ACA">
        <w:rPr>
          <w:rFonts w:cstheme="minorHAnsi"/>
          <w:vertAlign w:val="superscript"/>
        </w:rPr>
        <w:fldChar w:fldCharType="end"/>
      </w:r>
      <w:r w:rsidRPr="007C0ACA">
        <w:rPr>
          <w:rFonts w:cstheme="minorHAnsi"/>
        </w:rPr>
        <w:t xml:space="preserve"> Three MD of 300</w:t>
      </w:r>
      <w:r w:rsidR="006F6369" w:rsidRPr="007C0ACA">
        <w:rPr>
          <w:rFonts w:cstheme="minorHAnsi"/>
        </w:rPr>
        <w:t xml:space="preserve"> </w:t>
      </w:r>
      <w:r w:rsidRPr="007C0ACA">
        <w:rPr>
          <w:rFonts w:cstheme="minorHAnsi"/>
        </w:rPr>
        <w:t xml:space="preserve">ns </w:t>
      </w:r>
      <w:r w:rsidR="006F6369" w:rsidRPr="007C0ACA">
        <w:rPr>
          <w:rFonts w:cstheme="minorHAnsi"/>
        </w:rPr>
        <w:t xml:space="preserve">length </w:t>
      </w:r>
      <w:r w:rsidRPr="007C0ACA">
        <w:rPr>
          <w:rFonts w:cstheme="minorHAnsi"/>
        </w:rPr>
        <w:t xml:space="preserve">were performed on each system to ensure their </w:t>
      </w:r>
      <w:r w:rsidR="00FD408A" w:rsidRPr="007C0ACA">
        <w:rPr>
          <w:rFonts w:cstheme="minorHAnsi"/>
        </w:rPr>
        <w:t>energy</w:t>
      </w:r>
      <w:r w:rsidRPr="007C0ACA">
        <w:rPr>
          <w:rFonts w:cstheme="minorHAnsi"/>
        </w:rPr>
        <w:t xml:space="preserve"> convergence and to </w:t>
      </w:r>
      <w:r w:rsidR="00FD408A" w:rsidRPr="007C0ACA">
        <w:rPr>
          <w:rFonts w:cstheme="minorHAnsi"/>
        </w:rPr>
        <w:t>enhance</w:t>
      </w:r>
      <w:r w:rsidRPr="007C0ACA">
        <w:rPr>
          <w:rFonts w:cstheme="minorHAnsi"/>
        </w:rPr>
        <w:t xml:space="preserve"> conformational sampling, but only the last </w:t>
      </w:r>
      <w:r w:rsidR="002F005C" w:rsidRPr="007C0ACA">
        <w:rPr>
          <w:rFonts w:cstheme="minorHAnsi"/>
        </w:rPr>
        <w:t>5</w:t>
      </w:r>
      <w:r w:rsidRPr="007C0ACA">
        <w:rPr>
          <w:rFonts w:cstheme="minorHAnsi"/>
        </w:rPr>
        <w:t>0</w:t>
      </w:r>
      <w:r w:rsidR="00184BC5" w:rsidRPr="007C0ACA">
        <w:rPr>
          <w:rFonts w:cstheme="minorHAnsi"/>
        </w:rPr>
        <w:t xml:space="preserve"> </w:t>
      </w:r>
      <w:r w:rsidRPr="007C0ACA">
        <w:rPr>
          <w:rFonts w:cstheme="minorHAnsi"/>
        </w:rPr>
        <w:t xml:space="preserve">ns of each trajectory </w:t>
      </w:r>
      <w:r w:rsidR="00C136FA" w:rsidRPr="007C0ACA">
        <w:rPr>
          <w:rFonts w:cstheme="minorHAnsi"/>
        </w:rPr>
        <w:t>w</w:t>
      </w:r>
      <w:r w:rsidR="00184BC5" w:rsidRPr="007C0ACA">
        <w:rPr>
          <w:rFonts w:cstheme="minorHAnsi"/>
        </w:rPr>
        <w:t>ere</w:t>
      </w:r>
      <w:r w:rsidRPr="007C0ACA">
        <w:rPr>
          <w:rFonts w:cstheme="minorHAnsi"/>
        </w:rPr>
        <w:t xml:space="preserve"> considered for analysis. </w:t>
      </w:r>
      <w:r w:rsidR="00C136FA" w:rsidRPr="007C0ACA">
        <w:rPr>
          <w:rFonts w:cstheme="minorHAnsi"/>
        </w:rPr>
        <w:t>Sampling was carried out using multiple molecular dynamics trajectories, which results in a more thorough exploration of the conformational space reducing the chances the system gets trapped</w:t>
      </w:r>
      <w:r w:rsidR="00783DAD" w:rsidRPr="007C0ACA">
        <w:rPr>
          <w:rFonts w:cstheme="minorHAnsi"/>
        </w:rPr>
        <w:t xml:space="preserve"> in a local minim</w:t>
      </w:r>
      <w:r w:rsidR="004E2C7D" w:rsidRPr="007C0ACA">
        <w:rPr>
          <w:rFonts w:cstheme="minorHAnsi"/>
        </w:rPr>
        <w:t>a</w:t>
      </w:r>
      <w:r w:rsidRPr="007C0ACA">
        <w:t>.</w:t>
      </w:r>
      <w:r w:rsidR="002F005C" w:rsidRPr="007C0ACA">
        <w:rPr>
          <w:vertAlign w:val="superscript"/>
        </w:rPr>
        <w:fldChar w:fldCharType="begin" w:fldLock="1"/>
      </w:r>
      <w:r w:rsidR="002F005C" w:rsidRPr="007C0ACA">
        <w:rPr>
          <w:vertAlign w:val="superscript"/>
        </w:rPr>
        <w:instrText>ADDIN CSL_CITATION {"citationItems":[{"id":"ITEM-1","itemData":{"DOI":"10.1021/acs.jcim.6b00347","ISSN":"15205142","abstract":"© 2016 American Chemical Society. The goal of the present study was to ascertain the differential performance of a long molecular dynamics trajectory versus several shorter ones starting from different points in the phase space and covering the same sampling time. For this purpose, we selected the 16-mer peptide Bak 16 BH3 as a model for study and carried out several samplings in explicit solvent. These samplings included an 8 μs trajectory (sampling S1); two 4 μs trajectories (sampling S2); four 2 μs trajectories (sampling S3); eight 1 μs trajectories (sampling S4); 16 0.5 μs trajectories (sampling S5), and 80 0.1 μs trajectories (sampling S6). Moreover, the 8 μs trajectory was further extended to 16 μs to have reference values of the diverse properties measured. The diverse samplings were compared qualitatively and quantitatively. Among the former, we carried out a comparison of the conformational profiles of the peptide using cluster analysis. Moreover, we also gained insight into the interchange among these structures along the sampling process. Among the latter, we computed the number of new conformational patterns sampled with time using strings defined from the conformations attained by each of the residues in the peptide. We also compared the locations and depths of the obtained minima on the free energy surface using principal component analysis. Finally, we also compared the helical profiles per residue at the end of the sampling process. The results suggest that a few short molecular dynamics trajectories may provide better sampling than one unique trajectory. Moreover, this procedure can also be advantageous to avoid getting trapped in a local minimum. However, caution should be exercised since short trajectories need to be long enough to overcome local barriers surrounding the starting point and the required sampling time depends on the number of degrees of freedom of the system under study. An effective way to gain insight into the minimum MD trajectory length is to monitor the convergence of different structural features, as shown in the present work.","author":[{"dropping-particle":"","family":"Perez","given":"Juan J.","non-dropping-particle":"","parse-names":false,"suffix":""},{"dropping-particle":"","family":"Tomas","given":"M. Santos","non-dropping-particle":"","parse-names":false,"suffix":""},{"dropping-particle":"","family":"Rubio-Martinez","given":"Jaime","non-dropping-particle":"","parse-names":false,"suffix":""}],"container-title":"Journal of Chemical Information and Modeling","id":"ITEM-1","issue":"10","issued":{"date-parts":[["2016"]]},"page":"1950-1962","title":"Assessment of the Sampling Performance of Multiple-Copy Dynamics versus a Unique Trajectory","type":"article-journal","volume":"56"},"uris":["http://www.mendeley.com/documents/?uuid=8b282bee-99f1-4446-b449-d0bb7385148b"]}],"mendeley":{"formattedCitation":"(43)","manualFormatting":"43","plainTextFormattedCitation":"(43)","previouslyFormattedCitation":"(43)"},"properties":{"noteIndex":0},"schema":"https://github.com/citation-style-language/schema/raw/master/csl-citation.json"}</w:instrText>
      </w:r>
      <w:r w:rsidR="002F005C" w:rsidRPr="007C0ACA">
        <w:rPr>
          <w:vertAlign w:val="superscript"/>
        </w:rPr>
        <w:fldChar w:fldCharType="separate"/>
      </w:r>
      <w:r w:rsidR="002F005C" w:rsidRPr="007C0ACA">
        <w:rPr>
          <w:noProof/>
          <w:vertAlign w:val="superscript"/>
        </w:rPr>
        <w:t>43</w:t>
      </w:r>
      <w:r w:rsidR="002F005C" w:rsidRPr="007C0ACA">
        <w:rPr>
          <w:vertAlign w:val="superscript"/>
        </w:rPr>
        <w:fldChar w:fldCharType="end"/>
      </w:r>
      <w:r w:rsidRPr="007C0ACA">
        <w:rPr>
          <w:vertAlign w:val="superscript"/>
        </w:rPr>
        <w:t xml:space="preserve"> </w:t>
      </w:r>
    </w:p>
    <w:p w14:paraId="34364CEC" w14:textId="79EE24C6" w:rsidR="00DE1BE8" w:rsidRPr="007C0ACA" w:rsidRDefault="00DE1BE8" w:rsidP="00F972F9">
      <w:pPr>
        <w:pStyle w:val="Ttol3"/>
        <w:spacing w:after="120"/>
      </w:pPr>
      <w:bookmarkStart w:id="3" w:name="_Toc518637936"/>
      <w:r w:rsidRPr="007C0ACA">
        <w:t>Root-Mean Square Deviation (</w:t>
      </w:r>
      <w:r w:rsidR="00C64726" w:rsidRPr="007C0ACA">
        <w:t>RMSD) and</w:t>
      </w:r>
      <w:r w:rsidRPr="007C0ACA">
        <w:t xml:space="preserve"> Root-Mean Square Fluctuation (RMSF)</w:t>
      </w:r>
      <w:bookmarkEnd w:id="3"/>
    </w:p>
    <w:p w14:paraId="2231D440" w14:textId="1922692F" w:rsidR="00DE1BE8" w:rsidRPr="007C0ACA" w:rsidRDefault="00DE1BE8" w:rsidP="00C55071">
      <w:pPr>
        <w:spacing w:line="276" w:lineRule="auto"/>
        <w:ind w:firstLine="720"/>
        <w:jc w:val="both"/>
      </w:pPr>
      <w:r w:rsidRPr="007C0ACA">
        <w:t xml:space="preserve">Root-Mean Square Deviation (RMSD) </w:t>
      </w:r>
      <w:r w:rsidR="000E44BD" w:rsidRPr="007C0ACA">
        <w:t>along</w:t>
      </w:r>
      <w:r w:rsidRPr="007C0ACA">
        <w:t xml:space="preserve"> </w:t>
      </w:r>
      <w:r w:rsidR="0083377B" w:rsidRPr="007C0ACA">
        <w:t xml:space="preserve">the </w:t>
      </w:r>
      <w:r w:rsidRPr="007C0ACA">
        <w:t xml:space="preserve">simulation time was </w:t>
      </w:r>
      <w:r w:rsidR="00EE706C" w:rsidRPr="007C0ACA">
        <w:t>computed</w:t>
      </w:r>
      <w:r w:rsidRPr="007C0ACA">
        <w:t xml:space="preserve"> using the </w:t>
      </w:r>
      <w:r w:rsidRPr="007C0ACA">
        <w:rPr>
          <w:i/>
        </w:rPr>
        <w:t>cpptraj</w:t>
      </w:r>
      <w:r w:rsidR="002F005C" w:rsidRPr="007C0ACA">
        <w:rPr>
          <w:i/>
          <w:vertAlign w:val="superscript"/>
        </w:rPr>
        <w:fldChar w:fldCharType="begin" w:fldLock="1"/>
      </w:r>
      <w:r w:rsidR="0022312D" w:rsidRPr="007C0ACA">
        <w:rPr>
          <w:i/>
          <w:vertAlign w:val="superscript"/>
        </w:rPr>
        <w:instrText>ADDIN CSL_CITATION {"citationItems":[{"id":"ITEM-1","itemData":{"ISSN":"00402508","abstract":"We describe PTRAJ and its successor CPPTRAJ, two complementary, portable, and freely available computer programs for the analysis and processing of time series of three-dimensional atomic positions (i.e., coordinate trajectories) and the data therein derived. Common tools include the ability to manipulate the data to convert among trajectory formats, process groups of trajectories generated with ensemble methods (e.g., replica exchange molecular dynamics), image with periodic boundary conditions, create average structures, strip subsets of the system, and perform calculations such as RMS fitting, measuring distances, B-factors, radii of gyration, radial distribution functions, and time correlations, among other actions and analyses. Both the PTRAJ and CPPTRAJ programs and source code are freely available under the GNU General Public License version 3 and are currently distributed within the AmberTools 12 suite of support programs that make up part of the Amber package of computer programs (see http://ambermd.org). This overview describes the general design, features, and history of these two programs, as well as algorithmic improvements and new features available in CPPTRAJ.","author":[{"dropping-particle":"V.","family":"Shitov","given":"V.","non-dropping-particle":"","parse-names":false,"suffix":""},{"dropping-particle":"","family":"Semenov","given":"N. A.","non-dropping-particle":"","parse-names":false,"suffix":""},{"dropping-particle":"","family":"Gozman","given":"N. Ya","non-dropping-particle":"","parse-names":false,"suffix":""}],"container-title":"Telecommunications and Radio Engineering (English translation of Elektrosvyaz and Radiotekhnika)","id":"ITEM-1","issue":"4","issued":{"date-parts":[["1984"]]},"page":"14-16","title":"PTRAJ and CPPTRAJ: Software for Processing and Analysis of Molecular Dynamics Trajectory Data.","type":"article-journal","volume":"38-39"},"uris":["http://www.mendeley.com/documents/?uuid=2d946527-8069-4182-aad2-c98540ed025d"]}],"mendeley":{"formattedCitation":"(44)","manualFormatting":"44","plainTextFormattedCitation":"(44)","previouslyFormattedCitation":"(44)"},"properties":{"noteIndex":0},"schema":"https://github.com/citation-style-language/schema/raw/master/csl-citation.json"}</w:instrText>
      </w:r>
      <w:r w:rsidR="002F005C" w:rsidRPr="007C0ACA">
        <w:rPr>
          <w:i/>
          <w:vertAlign w:val="superscript"/>
        </w:rPr>
        <w:fldChar w:fldCharType="separate"/>
      </w:r>
      <w:r w:rsidR="002F005C" w:rsidRPr="007C0ACA">
        <w:rPr>
          <w:noProof/>
          <w:vertAlign w:val="superscript"/>
        </w:rPr>
        <w:t>44</w:t>
      </w:r>
      <w:r w:rsidR="002F005C" w:rsidRPr="007C0ACA">
        <w:rPr>
          <w:i/>
          <w:vertAlign w:val="superscript"/>
        </w:rPr>
        <w:fldChar w:fldCharType="end"/>
      </w:r>
      <w:r w:rsidRPr="007C0ACA">
        <w:rPr>
          <w:i/>
        </w:rPr>
        <w:t xml:space="preserve"> </w:t>
      </w:r>
      <w:r w:rsidRPr="007C0ACA">
        <w:t>module from A</w:t>
      </w:r>
      <w:r w:rsidR="00C64726" w:rsidRPr="007C0ACA">
        <w:t>MBER</w:t>
      </w:r>
      <w:r w:rsidRPr="007C0ACA">
        <w:t xml:space="preserve">16 to assess the </w:t>
      </w:r>
      <w:r w:rsidR="0083377B" w:rsidRPr="007C0ACA">
        <w:t xml:space="preserve">structural </w:t>
      </w:r>
      <w:r w:rsidRPr="007C0ACA">
        <w:t xml:space="preserve">stability of the </w:t>
      </w:r>
      <w:r w:rsidR="0083377B" w:rsidRPr="007C0ACA">
        <w:t xml:space="preserve">systems along the </w:t>
      </w:r>
      <w:r w:rsidRPr="007C0ACA">
        <w:t xml:space="preserve">Molecular Dynamics simulation. RMSD was computed using the respective experimental structure obtained from LEaP, </w:t>
      </w:r>
      <w:r w:rsidR="00AF6506" w:rsidRPr="007C0ACA">
        <w:t>that</w:t>
      </w:r>
      <w:r w:rsidRPr="007C0ACA">
        <w:t xml:space="preserve"> is not minimized, as reference structure. </w:t>
      </w:r>
      <w:r w:rsidR="00AF6506" w:rsidRPr="007C0ACA">
        <w:t>Each of the</w:t>
      </w:r>
      <w:r w:rsidRPr="007C0ACA">
        <w:t xml:space="preserve"> frames </w:t>
      </w:r>
      <w:r w:rsidR="00AF6506" w:rsidRPr="007C0ACA">
        <w:t>of</w:t>
      </w:r>
      <w:r w:rsidRPr="007C0ACA">
        <w:t xml:space="preserve"> the</w:t>
      </w:r>
      <w:r w:rsidR="00AF6506" w:rsidRPr="007C0ACA">
        <w:t xml:space="preserve"> diverse</w:t>
      </w:r>
      <w:r w:rsidRPr="007C0ACA">
        <w:t xml:space="preserve"> trajector</w:t>
      </w:r>
      <w:r w:rsidR="00AF6506" w:rsidRPr="007C0ACA">
        <w:t>ies</w:t>
      </w:r>
      <w:r w:rsidRPr="007C0ACA">
        <w:t xml:space="preserve"> were reoriented over the residues from helices α1, α3, α4, α5 and α6</w:t>
      </w:r>
      <w:r w:rsidR="003B3A06" w:rsidRPr="007C0ACA">
        <w:t xml:space="preserve"> using the alpha carbons (C</w:t>
      </w:r>
      <w:r w:rsidR="003B3A06" w:rsidRPr="007C0ACA">
        <w:rPr>
          <w:rFonts w:ascii="Symbol" w:hAnsi="Symbol"/>
        </w:rPr>
        <w:t></w:t>
      </w:r>
      <w:r w:rsidR="003B3A06" w:rsidRPr="007C0ACA">
        <w:rPr>
          <w:rFonts w:ascii="Symbol" w:hAnsi="Symbol"/>
        </w:rPr>
        <w:t></w:t>
      </w:r>
      <w:r w:rsidR="003B3A06" w:rsidRPr="007C0ACA">
        <w:rPr>
          <w:rFonts w:ascii="Symbol" w:hAnsi="Symbol"/>
        </w:rPr>
        <w:t></w:t>
      </w:r>
      <w:r w:rsidR="003B3A06" w:rsidRPr="007C0ACA">
        <w:rPr>
          <w:rFonts w:cstheme="minorHAnsi"/>
        </w:rPr>
        <w:t xml:space="preserve">of </w:t>
      </w:r>
      <w:r w:rsidR="006D6757" w:rsidRPr="007C0ACA">
        <w:rPr>
          <w:rFonts w:cstheme="minorHAnsi"/>
        </w:rPr>
        <w:t xml:space="preserve">all </w:t>
      </w:r>
      <w:r w:rsidR="003B3A06" w:rsidRPr="007C0ACA">
        <w:rPr>
          <w:rFonts w:cstheme="minorHAnsi"/>
        </w:rPr>
        <w:t>the residues</w:t>
      </w:r>
      <w:r w:rsidRPr="007C0ACA">
        <w:t xml:space="preserve">. Root-Mean Square Fluctuation (RMSF) </w:t>
      </w:r>
      <w:r w:rsidR="00AF6506" w:rsidRPr="007C0ACA">
        <w:t>for each of the residues of</w:t>
      </w:r>
      <w:r w:rsidRPr="007C0ACA">
        <w:t xml:space="preserve"> Bak and </w:t>
      </w:r>
      <w:r w:rsidR="00AF6506" w:rsidRPr="007C0ACA">
        <w:t>the diverse</w:t>
      </w:r>
      <w:r w:rsidRPr="007C0ACA">
        <w:t xml:space="preserve"> peptide</w:t>
      </w:r>
      <w:r w:rsidR="00AF6506" w:rsidRPr="007C0ACA">
        <w:t>s</w:t>
      </w:r>
      <w:r w:rsidRPr="007C0ACA">
        <w:t xml:space="preserve"> </w:t>
      </w:r>
      <w:r w:rsidR="00AF6506" w:rsidRPr="007C0ACA">
        <w:t>were</w:t>
      </w:r>
      <w:r w:rsidRPr="007C0ACA">
        <w:t xml:space="preserve"> also </w:t>
      </w:r>
      <w:r w:rsidR="00AF6506" w:rsidRPr="007C0ACA">
        <w:t>computed</w:t>
      </w:r>
      <w:r w:rsidRPr="007C0ACA">
        <w:t xml:space="preserve"> using </w:t>
      </w:r>
      <w:r w:rsidRPr="007C0ACA">
        <w:rPr>
          <w:i/>
        </w:rPr>
        <w:t>cpptraj</w:t>
      </w:r>
      <w:r w:rsidRPr="007C0ACA">
        <w:t xml:space="preserve">. </w:t>
      </w:r>
      <w:r w:rsidR="00AF6506" w:rsidRPr="007C0ACA">
        <w:t>This provides information of the</w:t>
      </w:r>
      <w:r w:rsidRPr="007C0ACA">
        <w:t xml:space="preserve"> local conformational flexibility</w:t>
      </w:r>
      <w:r w:rsidR="00AF6506" w:rsidRPr="007C0ACA">
        <w:t xml:space="preserve"> of each residue</w:t>
      </w:r>
      <w:r w:rsidRPr="007C0ACA">
        <w:t xml:space="preserve">. </w:t>
      </w:r>
    </w:p>
    <w:p w14:paraId="6CA85EE8" w14:textId="1432F5BB" w:rsidR="00DE1BE8" w:rsidRPr="007C0ACA" w:rsidRDefault="00DE1BE8" w:rsidP="00F972F9">
      <w:pPr>
        <w:pStyle w:val="Ttol3"/>
        <w:spacing w:after="120"/>
      </w:pPr>
      <w:r w:rsidRPr="007C0ACA">
        <w:t>Principal Component Fluctuations</w:t>
      </w:r>
    </w:p>
    <w:p w14:paraId="7A0F3BDF" w14:textId="287640E4" w:rsidR="00EF4F3C" w:rsidRPr="007C0ACA" w:rsidRDefault="00EF6197" w:rsidP="00B87EFB">
      <w:pPr>
        <w:spacing w:line="276" w:lineRule="auto"/>
        <w:ind w:firstLine="720"/>
        <w:jc w:val="both"/>
        <w:rPr>
          <w:vertAlign w:val="superscript"/>
        </w:rPr>
      </w:pPr>
      <w:r w:rsidRPr="007C0ACA">
        <w:t xml:space="preserve">In order to determine and analyse the principal </w:t>
      </w:r>
      <w:r w:rsidR="00E66608" w:rsidRPr="007C0ACA">
        <w:t xml:space="preserve">structural </w:t>
      </w:r>
      <w:r w:rsidRPr="007C0ACA">
        <w:t xml:space="preserve">variations </w:t>
      </w:r>
      <w:r w:rsidR="00E66608" w:rsidRPr="007C0ACA">
        <w:t>of the diverse systems studied</w:t>
      </w:r>
      <w:r w:rsidR="00CA4981" w:rsidRPr="007C0ACA">
        <w:t xml:space="preserve">, we </w:t>
      </w:r>
      <w:r w:rsidR="00E66608" w:rsidRPr="007C0ACA">
        <w:t>computed</w:t>
      </w:r>
      <w:r w:rsidR="00CA4981" w:rsidRPr="007C0ACA">
        <w:t xml:space="preserve"> the Principal Component Fluctuations of the most relevant secondary structures.  </w:t>
      </w:r>
      <w:r w:rsidR="00E66608" w:rsidRPr="007C0ACA">
        <w:t>For this purpose, we used</w:t>
      </w:r>
      <w:r w:rsidR="004979B8" w:rsidRPr="007C0ACA">
        <w:t xml:space="preserve"> the</w:t>
      </w:r>
      <w:r w:rsidR="00CA4981" w:rsidRPr="007C0ACA">
        <w:t xml:space="preserve"> </w:t>
      </w:r>
      <w:r w:rsidR="00DE1BE8" w:rsidRPr="007C0ACA">
        <w:t>Principal Component Analysis (PCA)</w:t>
      </w:r>
      <w:r w:rsidR="00CA4981" w:rsidRPr="007C0ACA">
        <w:t xml:space="preserve">, a multivariate statistical technique systematically applied to reduce the number of dimensions needed to describe protein dynamics through a decomposition process that </w:t>
      </w:r>
      <w:r w:rsidR="004979B8" w:rsidRPr="007C0ACA">
        <w:t xml:space="preserve">describe </w:t>
      </w:r>
      <w:r w:rsidR="00CA4981" w:rsidRPr="007C0ACA">
        <w:t xml:space="preserve">motions from the largest to </w:t>
      </w:r>
      <w:r w:rsidR="00E66608" w:rsidRPr="007C0ACA">
        <w:t xml:space="preserve">the </w:t>
      </w:r>
      <w:r w:rsidR="00CA4981" w:rsidRPr="007C0ACA">
        <w:t>smallest spatial scales</w:t>
      </w:r>
      <w:r w:rsidR="00E66608" w:rsidRPr="007C0ACA">
        <w:t>.</w:t>
      </w:r>
      <w:r w:rsidR="004979B8" w:rsidRPr="007C0ACA">
        <w:t xml:space="preserve"> In this </w:t>
      </w:r>
      <w:r w:rsidR="00632E08" w:rsidRPr="007C0ACA">
        <w:t xml:space="preserve">method, </w:t>
      </w:r>
      <w:r w:rsidR="00E66608" w:rsidRPr="007C0ACA">
        <w:t>a</w:t>
      </w:r>
      <w:r w:rsidR="004979B8" w:rsidRPr="007C0ACA">
        <w:t xml:space="preserve"> </w:t>
      </w:r>
      <w:r w:rsidR="00DE1BE8" w:rsidRPr="007C0ACA">
        <w:t xml:space="preserve">covariance matrix constructed </w:t>
      </w:r>
      <w:r w:rsidR="00E66608" w:rsidRPr="007C0ACA">
        <w:t>using</w:t>
      </w:r>
      <w:r w:rsidR="00DE1BE8" w:rsidRPr="007C0ACA">
        <w:t xml:space="preserve"> </w:t>
      </w:r>
      <w:r w:rsidR="004979B8" w:rsidRPr="007C0ACA">
        <w:t xml:space="preserve">the </w:t>
      </w:r>
      <w:r w:rsidR="00DE1BE8" w:rsidRPr="007C0ACA">
        <w:t>atomic coordinates</w:t>
      </w:r>
      <w:r w:rsidR="004979B8" w:rsidRPr="007C0ACA">
        <w:t xml:space="preserve"> of the </w:t>
      </w:r>
      <w:r w:rsidR="00122AAE" w:rsidRPr="007C0ACA">
        <w:t>alpha carbons (</w:t>
      </w:r>
      <w:r w:rsidR="004979B8" w:rsidRPr="007C0ACA">
        <w:t>C</w:t>
      </w:r>
      <w:r w:rsidR="004979B8" w:rsidRPr="007C0ACA">
        <w:rPr>
          <w:rFonts w:ascii="Symbol" w:hAnsi="Symbol"/>
        </w:rPr>
        <w:t></w:t>
      </w:r>
      <w:r w:rsidR="00122AAE" w:rsidRPr="007C0ACA">
        <w:rPr>
          <w:rFonts w:ascii="Symbol" w:hAnsi="Symbol"/>
        </w:rPr>
        <w:t></w:t>
      </w:r>
      <w:r w:rsidR="004979B8" w:rsidRPr="007C0ACA">
        <w:rPr>
          <w:rFonts w:ascii="Symbol" w:hAnsi="Symbol"/>
        </w:rPr>
        <w:t></w:t>
      </w:r>
      <w:r w:rsidR="00E66608" w:rsidRPr="007C0ACA">
        <w:rPr>
          <w:rFonts w:cstheme="minorHAnsi"/>
        </w:rPr>
        <w:t xml:space="preserve">of every residue is diagonalized to </w:t>
      </w:r>
      <w:r w:rsidR="004979B8" w:rsidRPr="007C0ACA">
        <w:t>produce</w:t>
      </w:r>
      <w:r w:rsidR="00E66608" w:rsidRPr="007C0ACA">
        <w:t xml:space="preserve"> a set of</w:t>
      </w:r>
      <w:r w:rsidR="004979B8" w:rsidRPr="007C0ACA">
        <w:t xml:space="preserve"> eigenvectors</w:t>
      </w:r>
      <w:r w:rsidR="00E66608" w:rsidRPr="007C0ACA">
        <w:t xml:space="preserve"> or</w:t>
      </w:r>
      <w:r w:rsidR="004979B8" w:rsidRPr="007C0ACA">
        <w:t xml:space="preserve"> Principal Components (PC</w:t>
      </w:r>
      <w:r w:rsidR="00632E08" w:rsidRPr="007C0ACA">
        <w:rPr>
          <w:vertAlign w:val="superscript"/>
        </w:rPr>
        <w:t>(i)</w:t>
      </w:r>
      <w:r w:rsidR="00632E08" w:rsidRPr="007C0ACA">
        <w:t>, i=1, N</w:t>
      </w:r>
      <w:r w:rsidR="00D30269" w:rsidRPr="007C0ACA">
        <w:t>, being N the number of residues of the protein</w:t>
      </w:r>
      <w:r w:rsidR="004979B8" w:rsidRPr="007C0ACA">
        <w:t>)</w:t>
      </w:r>
      <w:r w:rsidR="00632E08" w:rsidRPr="007C0ACA">
        <w:t xml:space="preserve">, </w:t>
      </w:r>
      <w:r w:rsidR="00D70069" w:rsidRPr="007C0ACA">
        <w:t>as well as</w:t>
      </w:r>
      <w:r w:rsidR="00632E08" w:rsidRPr="007C0ACA">
        <w:t xml:space="preserve"> their corresponding eigenvalues </w:t>
      </w:r>
      <w:r w:rsidR="00632E08" w:rsidRPr="007C0ACA">
        <w:rPr>
          <w:rFonts w:ascii="Symbol" w:hAnsi="Symbol"/>
        </w:rPr>
        <w:t></w:t>
      </w:r>
      <w:r w:rsidR="00632E08" w:rsidRPr="007C0ACA">
        <w:rPr>
          <w:vertAlign w:val="superscript"/>
        </w:rPr>
        <w:t>(i)</w:t>
      </w:r>
      <w:r w:rsidR="00DE1BE8" w:rsidRPr="007C0ACA">
        <w:t xml:space="preserve">. </w:t>
      </w:r>
      <w:r w:rsidR="002A6ADB" w:rsidRPr="007C0ACA">
        <w:t xml:space="preserve">Thus, </w:t>
      </w:r>
      <w:r w:rsidR="00DE1BE8" w:rsidRPr="007C0ACA">
        <w:t>this covariance matrix is a 3N x 3N symmetric matrix. PCA transforms correlated variables into uncorrelated variables</w:t>
      </w:r>
      <w:r w:rsidR="00A5425E" w:rsidRPr="007C0ACA">
        <w:t xml:space="preserve"> and</w:t>
      </w:r>
      <w:r w:rsidR="00632E08" w:rsidRPr="007C0ACA">
        <w:t xml:space="preserve"> </w:t>
      </w:r>
      <w:r w:rsidR="002D7CDA" w:rsidRPr="007C0ACA">
        <w:t>once they are rank ordered, t</w:t>
      </w:r>
      <w:r w:rsidR="00DE1BE8" w:rsidRPr="007C0ACA">
        <w:t>he first principal modes or eigenvectors can be used to characterize large-scale protein motions</w:t>
      </w:r>
      <w:r w:rsidR="002D7CDA" w:rsidRPr="007C0ACA">
        <w:t>. In other words,</w:t>
      </w:r>
      <w:r w:rsidR="00DE1BE8" w:rsidRPr="007C0ACA">
        <w:t xml:space="preserve"> these first modes are enough to define the “essential” space or motions of the protein.</w:t>
      </w:r>
      <w:r w:rsidR="00860D5C" w:rsidRPr="007C0ACA">
        <w:rPr>
          <w:vertAlign w:val="superscript"/>
        </w:rPr>
        <w:fldChar w:fldCharType="begin" w:fldLock="1"/>
      </w:r>
      <w:r w:rsidR="00860D5C" w:rsidRPr="007C0ACA">
        <w:rPr>
          <w:vertAlign w:val="superscript"/>
        </w:rPr>
        <w:instrText>ADDIN CSL_CITATION {"citationItems":[{"id":"ITEM-1","itemData":{"author":[{"dropping-particle":"","family":"Dynamics","given":"Essential","non-dropping-particle":"","parse-names":false,"suffix":""}],"id":"ITEM-1","issued":{"date-parts":[["1993"]]},"page":"412-425","title":"Essential Dynamics","type":"article-journal","volume":"425"},"uris":["http://www.mendeley.com/documents/?uuid=e26d9286-80b7-41cf-9842-532c72407975"]}],"mendeley":{"formattedCitation":"(45)","manualFormatting":"45","plainTextFormattedCitation":"(45)","previouslyFormattedCitation":"(45)"},"properties":{"noteIndex":0},"schema":"https://github.com/citation-style-language/schema/raw/master/csl-citation.json"}</w:instrText>
      </w:r>
      <w:r w:rsidR="00860D5C" w:rsidRPr="007C0ACA">
        <w:rPr>
          <w:vertAlign w:val="superscript"/>
        </w:rPr>
        <w:fldChar w:fldCharType="separate"/>
      </w:r>
      <w:r w:rsidR="00860D5C" w:rsidRPr="007C0ACA">
        <w:rPr>
          <w:noProof/>
          <w:vertAlign w:val="superscript"/>
        </w:rPr>
        <w:t>45</w:t>
      </w:r>
      <w:r w:rsidR="00860D5C" w:rsidRPr="007C0ACA">
        <w:rPr>
          <w:vertAlign w:val="superscript"/>
        </w:rPr>
        <w:fldChar w:fldCharType="end"/>
      </w:r>
      <w:r w:rsidR="00DE1BE8" w:rsidRPr="007C0ACA">
        <w:t xml:space="preserve"> </w:t>
      </w:r>
      <w:r w:rsidR="005D268A" w:rsidRPr="007C0ACA">
        <w:t>Th</w:t>
      </w:r>
      <w:r w:rsidR="002D5CE8" w:rsidRPr="007C0ACA">
        <w:t>e</w:t>
      </w:r>
      <w:r w:rsidR="005D268A" w:rsidRPr="007C0ACA">
        <w:t xml:space="preserve"> </w:t>
      </w:r>
      <w:r w:rsidR="00AE0881" w:rsidRPr="007C0ACA">
        <w:t xml:space="preserve">percent </w:t>
      </w:r>
      <w:r w:rsidR="005D268A" w:rsidRPr="007C0ACA">
        <w:t xml:space="preserve">contribution of </w:t>
      </w:r>
      <w:r w:rsidR="002D5CE8" w:rsidRPr="007C0ACA">
        <w:t>the i</w:t>
      </w:r>
      <w:r w:rsidR="002D5CE8" w:rsidRPr="007C0ACA">
        <w:rPr>
          <w:vertAlign w:val="superscript"/>
        </w:rPr>
        <w:t>th</w:t>
      </w:r>
      <w:r w:rsidR="002D5CE8" w:rsidRPr="007C0ACA">
        <w:t xml:space="preserve"> principal component </w:t>
      </w:r>
      <w:bookmarkStart w:id="4" w:name="_Hlk15751459"/>
      <w:r w:rsidR="002D5CE8" w:rsidRPr="007C0ACA">
        <w:t>PC</w:t>
      </w:r>
      <w:r w:rsidR="002D5CE8" w:rsidRPr="007C0ACA">
        <w:rPr>
          <w:vertAlign w:val="superscript"/>
        </w:rPr>
        <w:t>(i)</w:t>
      </w:r>
      <w:bookmarkEnd w:id="4"/>
      <w:r w:rsidR="002D5CE8" w:rsidRPr="007C0ACA">
        <w:t xml:space="preserve">, </w:t>
      </w:r>
      <w:r w:rsidR="005D268A" w:rsidRPr="007C0ACA">
        <w:t xml:space="preserve">to </w:t>
      </w:r>
      <w:r w:rsidR="002D5CE8" w:rsidRPr="007C0ACA">
        <w:t xml:space="preserve">the </w:t>
      </w:r>
      <w:r w:rsidR="005D268A" w:rsidRPr="007C0ACA">
        <w:t xml:space="preserve">structural variance in the dataset is given by </w:t>
      </w:r>
      <m:oMath>
        <m:r>
          <w:rPr>
            <w:rFonts w:ascii="Cambria Math" w:hAnsi="Cambria Math"/>
          </w:rPr>
          <m:t>c%=100*</m:t>
        </m:r>
        <m:f>
          <m:fPr>
            <m:ctrlPr>
              <w:rPr>
                <w:rFonts w:ascii="Cambria Math" w:hAnsi="Cambria Math"/>
                <w:i/>
              </w:rPr>
            </m:ctrlPr>
          </m:fPr>
          <m:num>
            <m:sSup>
              <m:sSupPr>
                <m:ctrlPr>
                  <w:rPr>
                    <w:rFonts w:ascii="Cambria Math" w:hAnsi="Cambria Math"/>
                    <w:i/>
                  </w:rPr>
                </m:ctrlPr>
              </m:sSupPr>
              <m:e>
                <m:r>
                  <w:rPr>
                    <w:rFonts w:ascii="Cambria Math" w:hAnsi="Cambria Math"/>
                  </w:rPr>
                  <m:t>λ</m:t>
                </m:r>
              </m:e>
              <m:sup>
                <m:d>
                  <m:dPr>
                    <m:ctrlPr>
                      <w:rPr>
                        <w:rFonts w:ascii="Cambria Math" w:hAnsi="Cambria Math"/>
                        <w:i/>
                      </w:rPr>
                    </m:ctrlPr>
                  </m:dPr>
                  <m:e>
                    <m:r>
                      <w:rPr>
                        <w:rFonts w:ascii="Cambria Math" w:hAnsi="Cambria Math"/>
                      </w:rPr>
                      <m:t>i</m:t>
                    </m:r>
                  </m:e>
                </m:d>
              </m:sup>
            </m:sSup>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3N</m:t>
                </m:r>
              </m:sup>
              <m:e>
                <m:r>
                  <w:rPr>
                    <w:rFonts w:ascii="Cambria Math" w:hAnsi="Cambria Math"/>
                  </w:rPr>
                  <m:t xml:space="preserve"> </m:t>
                </m:r>
                <m:sSup>
                  <m:sSupPr>
                    <m:ctrlPr>
                      <w:rPr>
                        <w:rFonts w:ascii="Cambria Math" w:hAnsi="Cambria Math"/>
                        <w:i/>
                      </w:rPr>
                    </m:ctrlPr>
                  </m:sSupPr>
                  <m:e>
                    <m:r>
                      <w:rPr>
                        <w:rFonts w:ascii="Cambria Math" w:hAnsi="Cambria Math"/>
                      </w:rPr>
                      <m:t>λ</m:t>
                    </m:r>
                  </m:e>
                  <m:sup>
                    <m:d>
                      <m:dPr>
                        <m:ctrlPr>
                          <w:rPr>
                            <w:rFonts w:ascii="Cambria Math" w:hAnsi="Cambria Math"/>
                            <w:i/>
                          </w:rPr>
                        </m:ctrlPr>
                      </m:dPr>
                      <m:e>
                        <m:r>
                          <w:rPr>
                            <w:rFonts w:ascii="Cambria Math" w:hAnsi="Cambria Math"/>
                          </w:rPr>
                          <m:t>i</m:t>
                        </m:r>
                      </m:e>
                    </m:d>
                  </m:sup>
                </m:sSup>
              </m:e>
            </m:nary>
          </m:den>
        </m:f>
        <m:r>
          <w:rPr>
            <w:rFonts w:ascii="Cambria Math" w:hAnsi="Cambria Math"/>
          </w:rPr>
          <m:t xml:space="preserve"> </m:t>
        </m:r>
      </m:oMath>
      <w:r w:rsidR="008C418A" w:rsidRPr="007C0ACA">
        <w:rPr>
          <w:rFonts w:eastAsiaTheme="minorEastAsia"/>
        </w:rPr>
        <w:t xml:space="preserve"> , </w:t>
      </w:r>
      <w:r w:rsidR="005D268A" w:rsidRPr="007C0ACA">
        <w:t xml:space="preserve">where the summation is performed over all </w:t>
      </w:r>
      <w:r w:rsidR="00AE0881" w:rsidRPr="007C0ACA">
        <w:t>3N</w:t>
      </w:r>
      <w:r w:rsidR="005D268A" w:rsidRPr="007C0ACA">
        <w:t xml:space="preserve"> components</w:t>
      </w:r>
      <w:r w:rsidR="00AE0881" w:rsidRPr="007C0ACA">
        <w:t>. The square displacement of the k</w:t>
      </w:r>
      <w:r w:rsidR="00AE0881" w:rsidRPr="007C0ACA">
        <w:rPr>
          <w:vertAlign w:val="superscript"/>
        </w:rPr>
        <w:t>th</w:t>
      </w:r>
      <w:r w:rsidR="00AE0881" w:rsidRPr="007C0ACA">
        <w:t xml:space="preserve"> residue along </w:t>
      </w:r>
      <w:r w:rsidR="00EF4F3C" w:rsidRPr="007C0ACA">
        <w:t>the PC</w:t>
      </w:r>
      <w:r w:rsidR="00EF4F3C" w:rsidRPr="007C0ACA">
        <w:rPr>
          <w:vertAlign w:val="superscript"/>
        </w:rPr>
        <w:t>(1)</w:t>
      </w:r>
      <w:r w:rsidR="00EF4F3C" w:rsidRPr="007C0ACA">
        <w:t>, PC</w:t>
      </w:r>
      <w:r w:rsidR="00EF4F3C" w:rsidRPr="007C0ACA">
        <w:rPr>
          <w:vertAlign w:val="superscript"/>
        </w:rPr>
        <w:t>(2)</w:t>
      </w:r>
      <w:r w:rsidR="00EF4F3C" w:rsidRPr="007C0ACA">
        <w:t>…</w:t>
      </w:r>
      <w:r w:rsidR="003E68DE" w:rsidRPr="007C0ACA">
        <w:t xml:space="preserve"> and </w:t>
      </w:r>
      <w:r w:rsidR="00EF4F3C" w:rsidRPr="007C0ACA">
        <w:t>PC</w:t>
      </w:r>
      <w:r w:rsidR="00EF4F3C" w:rsidRPr="007C0ACA">
        <w:rPr>
          <w:vertAlign w:val="superscript"/>
        </w:rPr>
        <w:t>(n)</w:t>
      </w:r>
      <w:r w:rsidR="00EF4F3C" w:rsidRPr="007C0ACA">
        <w:t xml:space="preserve">  is</w:t>
      </w:r>
      <w:r w:rsidR="003E68DE" w:rsidRPr="007C0ACA">
        <w:t>:</w:t>
      </w:r>
      <w:r w:rsidR="00860D5C" w:rsidRPr="007C0ACA">
        <w:fldChar w:fldCharType="begin" w:fldLock="1"/>
      </w:r>
      <w:r w:rsidR="000E1F18" w:rsidRPr="007C0ACA">
        <w:instrText>ADDIN CSL_CITATION {"citationItems":[{"id":"ITEM-1","itemData":{"DOI":"10.1073/pnas.0904214106","ISSN":"00278424","abstract":"The conformational flexibility of target proteins continues to be a major challenge in accurate modeling of protein-inhibitor interactions. A fundamental issue, yet to be clarified, is whether the observed conformational changes are controlled by the protein or induced by the inhibitor. Although the concept of induced fit has been widely adopted for describing the structural changes that accompany ligand binding, there is growing evidence in support of the dominance of proteins' intrinsic dynamics which has been evolutionarily optimized to accommodate its functional interactions. The wealth of structural data for target proteins in the presence of different ligands now permits us to make a critical assessment of the balance between these two effects in selecting the bound forms. We focused on three widely studied drug targets, HIV-1 reverse transcriptase, p38 MAP kinase, and cyclin-dependent kinase 2. A total of 292 structures determined for these enzymes in the presence of different inhibitors and unbound form permitted us to perform an extensive comparative analysis of the conformational space accessed upon ligand binding, and its relation to the intrinsic dynamics before ligand binding as predicted by elastic network model analysis. Our results show that the ligand selects the conformer that best matches its structural and dynamic properties among the conformers intrinsically accessible to the protein in the unliganded form. The results suggest that simple but robust rules encoded in the protein structure play a dominant role in predefining the mechanisms of ligand binding, which may be advantageously exploited in designing inhibitors.","author":[{"dropping-particle":"","family":"Bakan","given":"Ahmet","non-dropping-particle":"","parse-names":false,"suffix":""},{"dropping-particle":"","family":"Bahar","given":"Ivet","non-dropping-particle":"","parse-names":false,"suffix":""}],"container-title":"Proceedings of the National Academy of Sciences of the United States of America","id":"ITEM-1","issue":"34","issued":{"date-parts":[["2009"]]},"page":"14349-14354","title":"The intrinsic dynamics of enzymes plays a dominant role in determining the structural changes induced upon inhibitor binding","type":"article-journal","volume":"106"},"uris":["http://www.mendeley.com/documents/?uuid=d781bfaa-c8e0-475b-97cc-1f3791bf2b20"]}],"mendeley":{"formattedCitation":"(46)","manualFormatting":"46","plainTextFormattedCitation":"(46)","previouslyFormattedCitation":"(46)"},"properties":{"noteIndex":0},"schema":"https://github.com/citation-style-language/schema/raw/master/csl-citation.json"}</w:instrText>
      </w:r>
      <w:r w:rsidR="00860D5C" w:rsidRPr="007C0ACA">
        <w:fldChar w:fldCharType="separate"/>
      </w:r>
      <w:r w:rsidR="00860D5C" w:rsidRPr="007C0ACA">
        <w:rPr>
          <w:noProof/>
          <w:vertAlign w:val="superscript"/>
        </w:rPr>
        <w:t>46</w:t>
      </w:r>
      <w:r w:rsidR="00860D5C" w:rsidRPr="007C0ACA">
        <w:fldChar w:fldCharType="end"/>
      </w:r>
    </w:p>
    <w:p w14:paraId="4ABE5490" w14:textId="1405303D" w:rsidR="00A5425E" w:rsidRPr="007C0ACA" w:rsidRDefault="009850F4" w:rsidP="005D268A">
      <w:pPr>
        <w:spacing w:line="240" w:lineRule="auto"/>
        <w:jc w:val="both"/>
      </w:pPr>
      <m:oMathPara>
        <m:oMath>
          <m:sSubSup>
            <m:sSubSupPr>
              <m:ctrlPr>
                <w:rPr>
                  <w:rFonts w:ascii="Cambria Math" w:hAnsi="Cambria Math"/>
                  <w:i/>
                </w:rPr>
              </m:ctrlPr>
            </m:sSubSupPr>
            <m:e>
              <m:r>
                <w:rPr>
                  <w:rFonts w:ascii="Cambria Math" w:hAnsi="Cambria Math"/>
                </w:rPr>
                <m:t>PCF</m:t>
              </m:r>
            </m:e>
            <m:sub>
              <m:r>
                <w:rPr>
                  <w:rFonts w:ascii="Cambria Math" w:hAnsi="Cambria Math"/>
                </w:rPr>
                <m:t>1≤i≤n</m:t>
              </m:r>
            </m:sub>
            <m:sup>
              <m:r>
                <w:rPr>
                  <w:rFonts w:ascii="Cambria Math" w:hAnsi="Cambria Math"/>
                </w:rPr>
                <m:t>k</m:t>
              </m:r>
            </m:sup>
          </m:sSubSup>
          <m:r>
            <w:rPr>
              <w:rFonts w:ascii="Cambria Math" w:hAnsi="Cambria Math"/>
            </w:rPr>
            <m:t>=tr</m:t>
          </m:r>
          <m:d>
            <m:dPr>
              <m:begChr m:val="{"/>
              <m:endChr m:val="}"/>
              <m:ctrlPr>
                <w:rPr>
                  <w:rFonts w:ascii="Cambria Math" w:hAnsi="Cambria Math"/>
                  <w:i/>
                </w:rPr>
              </m:ctrlPr>
            </m:dPr>
            <m:e>
              <m:sSub>
                <m:sSubPr>
                  <m:ctrlPr>
                    <w:rPr>
                      <w:rFonts w:ascii="Cambria Math" w:hAnsi="Cambria Math"/>
                      <w:i/>
                    </w:rPr>
                  </m:ctrlPr>
                </m:sSubPr>
                <m:e>
                  <m:d>
                    <m:dPr>
                      <m:begChr m:val="["/>
                      <m:endChr m:val="]"/>
                      <m:ctrlPr>
                        <w:rPr>
                          <w:rFonts w:ascii="Cambria Math" w:hAnsi="Cambria Math"/>
                          <w:i/>
                        </w:rPr>
                      </m:ctrlPr>
                    </m:dPr>
                    <m:e>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p>
                                <m:sSupPr>
                                  <m:ctrlPr>
                                    <w:rPr>
                                      <w:rFonts w:ascii="Cambria Math" w:hAnsi="Cambria Math"/>
                                      <w:i/>
                                    </w:rPr>
                                  </m:ctrlPr>
                                </m:sSupPr>
                                <m:e>
                                  <m:r>
                                    <w:rPr>
                                      <w:rFonts w:ascii="Cambria Math" w:hAnsi="Cambria Math"/>
                                    </w:rPr>
                                    <m:t>λ</m:t>
                                  </m:r>
                                </m:e>
                                <m:sup>
                                  <m:r>
                                    <w:rPr>
                                      <w:rFonts w:ascii="Cambria Math" w:hAnsi="Cambria Math"/>
                                    </w:rPr>
                                    <m:t>(i)</m:t>
                                  </m:r>
                                </m:sup>
                              </m:sSup>
                              <m:r>
                                <w:rPr>
                                  <w:rFonts w:ascii="Cambria Math" w:hAnsi="Cambria Math"/>
                                </w:rPr>
                                <m:t>PC</m:t>
                              </m:r>
                            </m:e>
                            <m:sup>
                              <m:r>
                                <w:rPr>
                                  <w:rFonts w:ascii="Cambria Math" w:hAnsi="Cambria Math"/>
                                </w:rPr>
                                <m:t>(i)</m:t>
                              </m:r>
                            </m:sup>
                          </m:sSup>
                          <m:sSup>
                            <m:sSupPr>
                              <m:ctrlPr>
                                <w:rPr>
                                  <w:rFonts w:ascii="Cambria Math" w:hAnsi="Cambria Math"/>
                                  <w:i/>
                                </w:rPr>
                              </m:ctrlPr>
                            </m:sSupPr>
                            <m:e>
                              <m:r>
                                <w:rPr>
                                  <w:rFonts w:ascii="Cambria Math" w:hAnsi="Cambria Math"/>
                                </w:rPr>
                                <m:t>PC</m:t>
                              </m:r>
                            </m:e>
                            <m:sup>
                              <m:d>
                                <m:dPr>
                                  <m:ctrlPr>
                                    <w:rPr>
                                      <w:rFonts w:ascii="Cambria Math" w:hAnsi="Cambria Math"/>
                                      <w:i/>
                                    </w:rPr>
                                  </m:ctrlPr>
                                </m:dPr>
                                <m:e>
                                  <m:r>
                                    <w:rPr>
                                      <w:rFonts w:ascii="Cambria Math" w:hAnsi="Cambria Math"/>
                                    </w:rPr>
                                    <m:t>i</m:t>
                                  </m:r>
                                </m:e>
                              </m:d>
                              <m:r>
                                <w:rPr>
                                  <w:rFonts w:ascii="Cambria Math" w:hAnsi="Cambria Math"/>
                                </w:rPr>
                                <m:t>T</m:t>
                              </m:r>
                            </m:sup>
                          </m:sSup>
                        </m:e>
                      </m:nary>
                    </m:e>
                  </m:d>
                </m:e>
                <m:sub>
                  <m:r>
                    <w:rPr>
                      <w:rFonts w:ascii="Cambria Math" w:hAnsi="Cambria Math"/>
                    </w:rPr>
                    <m:t>kk</m:t>
                  </m:r>
                </m:sub>
              </m:sSub>
            </m:e>
          </m:d>
        </m:oMath>
      </m:oMathPara>
    </w:p>
    <w:p w14:paraId="124DEB50" w14:textId="7BE387E5" w:rsidR="00DE1BE8" w:rsidRPr="007C0ACA" w:rsidRDefault="00B7496C" w:rsidP="007E368F">
      <w:pPr>
        <w:spacing w:line="276" w:lineRule="auto"/>
        <w:jc w:val="both"/>
      </w:pPr>
      <w:r w:rsidRPr="007C0ACA">
        <w:t>w</w:t>
      </w:r>
      <w:r w:rsidR="00EF4F3C" w:rsidRPr="007C0ACA">
        <w:t xml:space="preserve">here the </w:t>
      </w:r>
      <w:r w:rsidR="00AC24A1" w:rsidRPr="007C0ACA">
        <w:t>square brackets represent a 3x3 submatrix of the full 3N x 3N matrix and the subscript kk stand</w:t>
      </w:r>
      <w:r w:rsidRPr="007C0ACA">
        <w:t>s</w:t>
      </w:r>
      <w:r w:rsidR="00AC24A1" w:rsidRPr="007C0ACA">
        <w:t xml:space="preserve"> for the k</w:t>
      </w:r>
      <w:r w:rsidR="00AC24A1" w:rsidRPr="007C0ACA">
        <w:rPr>
          <w:vertAlign w:val="superscript"/>
        </w:rPr>
        <w:t xml:space="preserve">th </w:t>
      </w:r>
      <w:r w:rsidR="00AC24A1" w:rsidRPr="007C0ACA">
        <w:t>diagonal element of this reduced submatrix</w:t>
      </w:r>
      <w:r w:rsidR="003E68DE" w:rsidRPr="007C0ACA">
        <w:t>.</w:t>
      </w:r>
      <w:r w:rsidR="00AC24A1" w:rsidRPr="007C0ACA">
        <w:t xml:space="preserve"> </w:t>
      </w:r>
      <w:r w:rsidR="00DE1BE8" w:rsidRPr="007C0ACA">
        <w:rPr>
          <w:color w:val="000000" w:themeColor="text1"/>
        </w:rPr>
        <w:t xml:space="preserve">Results </w:t>
      </w:r>
      <w:r w:rsidRPr="007C0ACA">
        <w:rPr>
          <w:color w:val="000000" w:themeColor="text1"/>
        </w:rPr>
        <w:t>of this analysis provide</w:t>
      </w:r>
      <w:r w:rsidR="00DE1BE8" w:rsidRPr="007C0ACA">
        <w:rPr>
          <w:color w:val="000000" w:themeColor="text1"/>
        </w:rPr>
        <w:t xml:space="preserve"> the square summation of the fluctuations of the PCs </w:t>
      </w:r>
      <w:r w:rsidR="003E68DE" w:rsidRPr="007C0ACA">
        <w:rPr>
          <w:color w:val="000000" w:themeColor="text1"/>
        </w:rPr>
        <w:t xml:space="preserve">(PCF) </w:t>
      </w:r>
      <w:r w:rsidR="00DE1BE8" w:rsidRPr="007C0ACA">
        <w:rPr>
          <w:color w:val="000000" w:themeColor="text1"/>
        </w:rPr>
        <w:t>f</w:t>
      </w:r>
      <w:r w:rsidR="003E68DE" w:rsidRPr="007C0ACA">
        <w:rPr>
          <w:color w:val="000000" w:themeColor="text1"/>
        </w:rPr>
        <w:t>or</w:t>
      </w:r>
      <w:r w:rsidR="00DE1BE8" w:rsidRPr="007C0ACA">
        <w:rPr>
          <w:color w:val="000000" w:themeColor="text1"/>
        </w:rPr>
        <w:t xml:space="preserve"> residues of helices α1, α2, α3 and α5</w:t>
      </w:r>
      <w:r w:rsidR="003E68DE" w:rsidRPr="007C0ACA">
        <w:rPr>
          <w:color w:val="000000" w:themeColor="text1"/>
        </w:rPr>
        <w:t xml:space="preserve"> and e</w:t>
      </w:r>
      <w:r w:rsidR="00DE1BE8" w:rsidRPr="007C0ACA">
        <w:rPr>
          <w:color w:val="000000" w:themeColor="text1"/>
        </w:rPr>
        <w:t xml:space="preserve">ach PC fluctuation is </w:t>
      </w:r>
      <w:r w:rsidRPr="007C0ACA">
        <w:rPr>
          <w:color w:val="000000" w:themeColor="text1"/>
        </w:rPr>
        <w:t>computed</w:t>
      </w:r>
      <w:r w:rsidR="00DE1BE8" w:rsidRPr="007C0ACA">
        <w:rPr>
          <w:color w:val="000000" w:themeColor="text1"/>
        </w:rPr>
        <w:t xml:space="preserve"> using the current PC and all the previous PC </w:t>
      </w:r>
      <w:r w:rsidR="003E68DE" w:rsidRPr="007C0ACA">
        <w:rPr>
          <w:color w:val="000000" w:themeColor="text1"/>
        </w:rPr>
        <w:t>cumulatively</w:t>
      </w:r>
      <w:r w:rsidR="00DE1BE8" w:rsidRPr="007C0ACA">
        <w:rPr>
          <w:color w:val="000000" w:themeColor="text1"/>
        </w:rPr>
        <w:t>.</w:t>
      </w:r>
    </w:p>
    <w:p w14:paraId="52490772" w14:textId="77777777" w:rsidR="00DE1BE8" w:rsidRPr="007C0ACA" w:rsidRDefault="00DE1BE8" w:rsidP="00F972F9">
      <w:pPr>
        <w:pStyle w:val="Ttol3"/>
        <w:spacing w:after="120"/>
      </w:pPr>
      <w:bookmarkStart w:id="5" w:name="_Toc518637937"/>
      <w:r w:rsidRPr="007C0ACA">
        <w:t>Binding Free Energy Calculations</w:t>
      </w:r>
      <w:bookmarkEnd w:id="5"/>
    </w:p>
    <w:p w14:paraId="56AF80C5" w14:textId="6504EB73" w:rsidR="00DE1BE8" w:rsidRPr="007C0ACA" w:rsidRDefault="004406C9" w:rsidP="00C55071">
      <w:pPr>
        <w:spacing w:line="276" w:lineRule="auto"/>
        <w:ind w:firstLine="720"/>
        <w:jc w:val="both"/>
      </w:pPr>
      <w:r w:rsidRPr="007C0ACA">
        <w:t xml:space="preserve">Binding </w:t>
      </w:r>
      <w:r w:rsidR="00DE1BE8" w:rsidRPr="007C0ACA">
        <w:t xml:space="preserve">Free energies were </w:t>
      </w:r>
      <w:r w:rsidR="00B7496C" w:rsidRPr="007C0ACA">
        <w:t>computed</w:t>
      </w:r>
      <w:r w:rsidR="00DE1BE8" w:rsidRPr="007C0ACA">
        <w:t xml:space="preserve"> using the Molecular Mechanics Poisson – Boltzmann Surface Area (MMPBSA) and the Molecular Mechanics Generalized - Born Surface Area (MMGBSA) </w:t>
      </w:r>
      <w:r w:rsidR="00DE1BE8" w:rsidRPr="007C0ACA">
        <w:lastRenderedPageBreak/>
        <w:t>algorithms,</w:t>
      </w:r>
      <w:r w:rsidR="000E1F18" w:rsidRPr="007C0ACA">
        <w:rPr>
          <w:vertAlign w:val="superscript"/>
        </w:rPr>
        <w:fldChar w:fldCharType="begin" w:fldLock="1"/>
      </w:r>
      <w:r w:rsidR="000E1F18" w:rsidRPr="007C0ACA">
        <w:rPr>
          <w:vertAlign w:val="superscript"/>
        </w:rPr>
        <w:instrText>ADDIN CSL_CITATION {"citationItems":[{"id":"ITEM-1","itemData":{"DOI":"10.1021/ar000033j","ISSN":"00014842","abstract":"A historical perspective on the application of molecular dynamics (MD) to biological macromolecules is presented. Recent developments combining state-of-the-art force fields with continuum solvation calculations have allowed us to reach the fourth era of MD applications in which one can often derive both accurate structure and accurate relative free energies from molecular dynamics trajectories. We illustrate such applications on nucleic acid duplexes, RNA hairpins, protein folding trajectories, and protein-ligand, protein-protein, and protein-nucleic acid interactions.","author":[{"dropping-particle":"","family":"Kollman","given":"P. A.","non-dropping-particle":"","parse-names":false,"suffix":""},{"dropping-particle":"","family":"Massova","given":"I.","non-dropping-particle":"","parse-names":false,"suffix":""},{"dropping-particle":"","family":"Reyes","given":"C.","non-dropping-particle":"","parse-names":false,"suffix":""},{"dropping-particle":"","family":"Kuhn","given":"B.","non-dropping-particle":"","parse-names":false,"suffix":""},{"dropping-particle":"","family":"Huo","given":"S.","non-dropping-particle":"","parse-names":false,"suffix":""},{"dropping-particle":"","family":"Chong","given":"L.","non-dropping-particle":"","parse-names":false,"suffix":""},{"dropping-particle":"","family":"Lee","given":"M.","non-dropping-particle":"","parse-names":false,"suffix":""},{"dropping-particle":"","family":"Lee","given":"T.","non-dropping-particle":"","parse-names":false,"suffix":""},{"dropping-particle":"","family":"Duan","given":"Y.","non-dropping-particle":"","parse-names":false,"suffix":""},{"dropping-particle":"","family":"Wang","given":"W.","non-dropping-particle":"","parse-names":false,"suffix":""},{"dropping-particle":"","family":"Donini","given":"O.","non-dropping-particle":"","parse-names":false,"suffix":""},{"dropping-particle":"","family":"Cieplak","given":"P.","non-dropping-particle":"","parse-names":false,"suffix":""},{"dropping-particle":"","family":"Srinivasan","given":"J.","non-dropping-particle":"","parse-names":false,"suffix":""},{"dropping-particle":"","family":"Case","given":"D. A.","non-dropping-particle":"","parse-names":false,"suffix":""},{"dropping-particle":"","family":"Cheatham","given":"T. E.","non-dropping-particle":"","parse-names":false,"suffix":""}],"container-title":"Accounts of Chemical Research","id":"ITEM-1","issue":"12","issued":{"date-parts":[["2000"]]},"page":"889-897","title":"Calculating structures and free energies of complex molecules: Combining molecular mechanics and continuum models","type":"article-journal","volume":"33"},"uris":["http://www.mendeley.com/documents/?uuid=491213b8-2a5e-458e-872c-3cc12add5a43"]}],"mendeley":{"formattedCitation":"(47)","manualFormatting":"47","plainTextFormattedCitation":"(47)","previouslyFormattedCitation":"(47)"},"properties":{"noteIndex":0},"schema":"https://github.com/citation-style-language/schema/raw/master/csl-citation.json"}</w:instrText>
      </w:r>
      <w:r w:rsidR="000E1F18" w:rsidRPr="007C0ACA">
        <w:rPr>
          <w:vertAlign w:val="superscript"/>
        </w:rPr>
        <w:fldChar w:fldCharType="separate"/>
      </w:r>
      <w:r w:rsidR="000E1F18" w:rsidRPr="007C0ACA">
        <w:rPr>
          <w:noProof/>
          <w:vertAlign w:val="superscript"/>
        </w:rPr>
        <w:t>47</w:t>
      </w:r>
      <w:r w:rsidR="000E1F18" w:rsidRPr="007C0ACA">
        <w:rPr>
          <w:vertAlign w:val="superscript"/>
        </w:rPr>
        <w:fldChar w:fldCharType="end"/>
      </w:r>
      <w:r w:rsidR="00DE1BE8" w:rsidRPr="007C0ACA">
        <w:t xml:space="preserve"> implemented in the AMBER16 package. For </w:t>
      </w:r>
      <w:r w:rsidR="00166D47" w:rsidRPr="007C0ACA">
        <w:t>both methods</w:t>
      </w:r>
      <w:r w:rsidR="00DE1BE8" w:rsidRPr="007C0ACA">
        <w:t>, free binding energy can be obtained according to th</w:t>
      </w:r>
      <w:r w:rsidRPr="007C0ACA">
        <w:t>e</w:t>
      </w:r>
      <w:r w:rsidR="00DE1BE8" w:rsidRPr="007C0ACA">
        <w:t xml:space="preserve"> equation:</w:t>
      </w:r>
    </w:p>
    <w:p w14:paraId="25EBF609" w14:textId="097AD46B" w:rsidR="00DE1BE8" w:rsidRPr="007C0ACA" w:rsidRDefault="009850F4" w:rsidP="00DE1BE8">
      <w:pPr>
        <w:spacing w:line="276" w:lineRule="auto"/>
        <w:rPr>
          <w:rFonts w:eastAsiaTheme="minorEastAsia"/>
        </w:rPr>
      </w:pPr>
      <m:oMathPara>
        <m:oMath>
          <m:sSub>
            <m:sSubPr>
              <m:ctrlPr>
                <w:rPr>
                  <w:rFonts w:ascii="Cambria Math" w:hAnsi="Cambria Math"/>
                  <w:i/>
                </w:rPr>
              </m:ctrlPr>
            </m:sSubPr>
            <m:e>
              <m:r>
                <w:rPr>
                  <w:rFonts w:ascii="Cambria Math" w:hAnsi="Cambria Math"/>
                </w:rPr>
                <m:t>∆G</m:t>
              </m:r>
            </m:e>
            <m:sub>
              <m:r>
                <w:rPr>
                  <w:rFonts w:ascii="Cambria Math" w:hAnsi="Cambria Math"/>
                </w:rPr>
                <m:t>binding</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gas</m:t>
              </m:r>
            </m:sup>
          </m:sSup>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solv</m:t>
              </m:r>
            </m:sup>
          </m:sSup>
          <m:r>
            <w:rPr>
              <w:rFonts w:ascii="Cambria Math" w:hAnsi="Cambria Math"/>
            </w:rPr>
            <m:t>-T</m:t>
          </m:r>
          <m:sSup>
            <m:sSupPr>
              <m:ctrlPr>
                <w:rPr>
                  <w:rFonts w:ascii="Cambria Math" w:hAnsi="Cambria Math"/>
                  <w:i/>
                </w:rPr>
              </m:ctrlPr>
            </m:sSupPr>
            <m:e>
              <m:r>
                <w:rPr>
                  <w:rFonts w:ascii="Cambria Math" w:hAnsi="Cambria Math"/>
                </w:rPr>
                <m:t>∆S</m:t>
              </m:r>
            </m:e>
            <m:sup>
              <m:r>
                <w:rPr>
                  <w:rFonts w:ascii="Cambria Math" w:hAnsi="Cambria Math"/>
                </w:rPr>
                <m:t>gas</m:t>
              </m:r>
            </m:sup>
          </m:sSup>
        </m:oMath>
      </m:oMathPara>
    </w:p>
    <w:p w14:paraId="684A8365" w14:textId="009876B9" w:rsidR="00DE1BE8" w:rsidRPr="007C0ACA" w:rsidRDefault="00DE1BE8" w:rsidP="0021716B">
      <w:pPr>
        <w:spacing w:line="276" w:lineRule="auto"/>
        <w:jc w:val="both"/>
        <w:rPr>
          <w:rFonts w:cstheme="minorHAnsi"/>
        </w:rPr>
      </w:pPr>
      <w:r w:rsidRPr="007C0ACA">
        <w:t xml:space="preserve">where </w:t>
      </w:r>
      <w:r w:rsidRPr="007C0ACA">
        <w:rPr>
          <w:rFonts w:cstheme="minorHAnsi"/>
        </w:rPr>
        <w:t>∆</w:t>
      </w:r>
      <w:r w:rsidRPr="007C0ACA">
        <w:t>H</w:t>
      </w:r>
      <w:r w:rsidRPr="007C0ACA">
        <w:rPr>
          <w:vertAlign w:val="superscript"/>
        </w:rPr>
        <w:t>gas</w:t>
      </w:r>
      <w:r w:rsidRPr="007C0ACA">
        <w:t xml:space="preserve"> is the gas-phase interaction energy calculated by summing the internal energy, the noncovalent van der Waals (</w:t>
      </w:r>
      <m:oMath>
        <m:r>
          <m:rPr>
            <m:sty m:val="p"/>
          </m:rPr>
          <w:rPr>
            <w:rFonts w:ascii="Cambria Math" w:hAnsi="Cambria Math"/>
            <w:vertAlign w:val="subscript"/>
          </w:rPr>
          <m:t>Δ</m:t>
        </m:r>
        <m:sSubSup>
          <m:sSubSupPr>
            <m:ctrlPr>
              <w:rPr>
                <w:rFonts w:ascii="Cambria Math" w:hAnsi="Cambria Math"/>
                <w:i/>
                <w:vertAlign w:val="subscript"/>
              </w:rPr>
            </m:ctrlPr>
          </m:sSubSupPr>
          <m:e>
            <m:r>
              <w:rPr>
                <w:rFonts w:ascii="Cambria Math" w:hAnsi="Cambria Math"/>
                <w:vertAlign w:val="subscript"/>
              </w:rPr>
              <m:t>H</m:t>
            </m:r>
          </m:e>
          <m:sub>
            <m:r>
              <w:rPr>
                <w:rFonts w:ascii="Cambria Math" w:hAnsi="Cambria Math"/>
                <w:vertAlign w:val="subscript"/>
              </w:rPr>
              <m:t>vdW</m:t>
            </m:r>
          </m:sub>
          <m:sup>
            <m:r>
              <w:rPr>
                <w:rFonts w:ascii="Cambria Math" w:hAnsi="Cambria Math"/>
                <w:vertAlign w:val="subscript"/>
              </w:rPr>
              <m:t>gas</m:t>
            </m:r>
          </m:sup>
        </m:sSubSup>
      </m:oMath>
      <w:r w:rsidRPr="007C0ACA">
        <w:t>), and electrostatic (</w:t>
      </w:r>
      <m:oMath>
        <m:r>
          <m:rPr>
            <m:sty m:val="p"/>
          </m:rPr>
          <w:rPr>
            <w:rFonts w:ascii="Cambria Math" w:hAnsi="Cambria Math"/>
            <w:vertAlign w:val="subscript"/>
          </w:rPr>
          <m:t>Δ</m:t>
        </m:r>
        <m:sSubSup>
          <m:sSubSupPr>
            <m:ctrlPr>
              <w:rPr>
                <w:rFonts w:ascii="Cambria Math" w:hAnsi="Cambria Math"/>
                <w:i/>
                <w:vertAlign w:val="subscript"/>
              </w:rPr>
            </m:ctrlPr>
          </m:sSubSupPr>
          <m:e>
            <m:r>
              <w:rPr>
                <w:rFonts w:ascii="Cambria Math" w:hAnsi="Cambria Math"/>
                <w:vertAlign w:val="subscript"/>
              </w:rPr>
              <m:t>H</m:t>
            </m:r>
          </m:e>
          <m:sub>
            <m:r>
              <w:rPr>
                <w:rFonts w:ascii="Cambria Math" w:hAnsi="Cambria Math"/>
                <w:vertAlign w:val="subscript"/>
              </w:rPr>
              <m:t>elec</m:t>
            </m:r>
          </m:sub>
          <m:sup>
            <m:r>
              <w:rPr>
                <w:rFonts w:ascii="Cambria Math" w:hAnsi="Cambria Math"/>
                <w:vertAlign w:val="subscript"/>
              </w:rPr>
              <m:t>gas</m:t>
            </m:r>
          </m:sup>
        </m:sSubSup>
      </m:oMath>
      <w:r w:rsidRPr="007C0ACA">
        <w:t xml:space="preserve">) molecular mechanics energies. On the other hand, </w:t>
      </w:r>
      <w:r w:rsidRPr="007C0ACA">
        <w:rPr>
          <w:rFonts w:cstheme="minorHAnsi"/>
        </w:rPr>
        <w:t>∆</w:t>
      </w:r>
      <w:r w:rsidRPr="007C0ACA">
        <w:t>G</w:t>
      </w:r>
      <w:r w:rsidRPr="007C0ACA">
        <w:rPr>
          <w:vertAlign w:val="superscript"/>
        </w:rPr>
        <w:t xml:space="preserve">solv </w:t>
      </w:r>
      <w:r w:rsidRPr="007C0ACA">
        <w:t>is computed as the sum of polar (</w:t>
      </w:r>
      <m:oMath>
        <m:r>
          <m:rPr>
            <m:sty m:val="p"/>
          </m:rPr>
          <w:rPr>
            <w:rFonts w:ascii="Cambria Math" w:hAnsi="Cambria Math"/>
            <w:vertAlign w:val="subscript"/>
          </w:rPr>
          <m:t>Δ</m:t>
        </m:r>
        <m:sSubSup>
          <m:sSubSupPr>
            <m:ctrlPr>
              <w:rPr>
                <w:rFonts w:ascii="Cambria Math" w:hAnsi="Cambria Math"/>
                <w:i/>
                <w:vertAlign w:val="subscript"/>
              </w:rPr>
            </m:ctrlPr>
          </m:sSubSupPr>
          <m:e>
            <m:r>
              <w:rPr>
                <w:rFonts w:ascii="Cambria Math" w:hAnsi="Cambria Math"/>
                <w:vertAlign w:val="subscript"/>
              </w:rPr>
              <m:t>G</m:t>
            </m:r>
          </m:e>
          <m:sub>
            <m:r>
              <w:rPr>
                <w:rFonts w:ascii="Cambria Math" w:hAnsi="Cambria Math"/>
                <w:vertAlign w:val="subscript"/>
              </w:rPr>
              <m:t>polar</m:t>
            </m:r>
          </m:sub>
          <m:sup>
            <m:r>
              <w:rPr>
                <w:rFonts w:ascii="Cambria Math" w:hAnsi="Cambria Math"/>
                <w:vertAlign w:val="subscript"/>
              </w:rPr>
              <m:t>solv</m:t>
            </m:r>
          </m:sup>
        </m:sSubSup>
      </m:oMath>
      <w:r w:rsidRPr="007C0ACA">
        <w:t xml:space="preserve"> </w:t>
      </w:r>
      <w:r w:rsidR="00166D47" w:rsidRPr="007C0ACA">
        <w:t xml:space="preserve">) </w:t>
      </w:r>
      <w:r w:rsidRPr="007C0ACA">
        <w:t>and non-polar terms (</w:t>
      </w:r>
      <m:oMath>
        <m:r>
          <m:rPr>
            <m:sty m:val="p"/>
          </m:rPr>
          <w:rPr>
            <w:rFonts w:ascii="Cambria Math" w:hAnsi="Cambria Math"/>
            <w:vertAlign w:val="subscript"/>
          </w:rPr>
          <m:t>Δ</m:t>
        </m:r>
        <m:sSubSup>
          <m:sSubSupPr>
            <m:ctrlPr>
              <w:rPr>
                <w:rFonts w:ascii="Cambria Math" w:hAnsi="Cambria Math"/>
                <w:i/>
                <w:vertAlign w:val="subscript"/>
              </w:rPr>
            </m:ctrlPr>
          </m:sSubSupPr>
          <m:e>
            <m:r>
              <w:rPr>
                <w:rFonts w:ascii="Cambria Math" w:hAnsi="Cambria Math"/>
                <w:vertAlign w:val="subscript"/>
              </w:rPr>
              <m:t>G</m:t>
            </m:r>
          </m:e>
          <m:sub>
            <m:r>
              <w:rPr>
                <w:rFonts w:ascii="Cambria Math" w:hAnsi="Cambria Math"/>
                <w:vertAlign w:val="subscript"/>
              </w:rPr>
              <m:t>nonpolar</m:t>
            </m:r>
          </m:sub>
          <m:sup>
            <m:r>
              <w:rPr>
                <w:rFonts w:ascii="Cambria Math" w:hAnsi="Cambria Math"/>
                <w:vertAlign w:val="subscript"/>
              </w:rPr>
              <m:t>solv</m:t>
            </m:r>
          </m:sup>
        </m:sSubSup>
      </m:oMath>
      <w:r w:rsidRPr="007C0ACA">
        <w:rPr>
          <w:rFonts w:cstheme="minorHAnsi"/>
        </w:rPr>
        <w:t xml:space="preserve">). </w:t>
      </w:r>
      <m:oMath>
        <m:r>
          <m:rPr>
            <m:sty m:val="p"/>
          </m:rPr>
          <w:rPr>
            <w:rFonts w:ascii="Cambria Math" w:hAnsi="Cambria Math"/>
            <w:vertAlign w:val="subscript"/>
          </w:rPr>
          <m:t>Δ</m:t>
        </m:r>
        <m:sSubSup>
          <m:sSubSupPr>
            <m:ctrlPr>
              <w:rPr>
                <w:rFonts w:ascii="Cambria Math" w:hAnsi="Cambria Math"/>
                <w:i/>
                <w:vertAlign w:val="subscript"/>
              </w:rPr>
            </m:ctrlPr>
          </m:sSubSupPr>
          <m:e>
            <m:r>
              <w:rPr>
                <w:rFonts w:ascii="Cambria Math" w:hAnsi="Cambria Math"/>
                <w:vertAlign w:val="subscript"/>
              </w:rPr>
              <m:t>G</m:t>
            </m:r>
          </m:e>
          <m:sub>
            <m:r>
              <w:rPr>
                <w:rFonts w:ascii="Cambria Math" w:hAnsi="Cambria Math"/>
                <w:vertAlign w:val="subscript"/>
              </w:rPr>
              <m:t>polar</m:t>
            </m:r>
          </m:sub>
          <m:sup>
            <m:r>
              <w:rPr>
                <w:rFonts w:ascii="Cambria Math" w:hAnsi="Cambria Math"/>
                <w:vertAlign w:val="subscript"/>
              </w:rPr>
              <m:t>solv</m:t>
            </m:r>
          </m:sup>
        </m:sSubSup>
      </m:oMath>
      <w:r w:rsidRPr="007C0ACA">
        <w:rPr>
          <w:rFonts w:cstheme="minorHAnsi"/>
        </w:rPr>
        <w:t xml:space="preserve"> can be calculated numerically by solving the Poisson-Boltzmann (PB) equation</w:t>
      </w:r>
      <w:r w:rsidR="000E1F18" w:rsidRPr="007C0ACA">
        <w:rPr>
          <w:rFonts w:cstheme="minorHAnsi"/>
          <w:vertAlign w:val="superscript"/>
        </w:rPr>
        <w:fldChar w:fldCharType="begin" w:fldLock="1"/>
      </w:r>
      <w:r w:rsidR="000E1F18" w:rsidRPr="007C0ACA">
        <w:rPr>
          <w:rFonts w:cstheme="minorHAnsi"/>
          <w:vertAlign w:val="superscript"/>
        </w:rPr>
        <w:instrText>ADDIN CSL_CITATION {"citationItems":[{"id":"ITEM-1","itemData":{"DOI":"10.1002/jcc.10120","ISSN":"01928651","abstract":"We report here an efficient implementation of the finite difference Poisson-Boltzmann solvent model based on the Modified Incomplete Cholsky Conjugate Gradient algorithm, which gives rather impressive performance for both static and dynamic systems. This is achieved by implementing the algorithm with Eisenstat's two optimizations, utilizing the electrostatic update in simulations, and applying prudent approximations, including: relaxing the convergence criterion, not updating Poisson-Boltzmann-related forces every step, and using electrostatic focusing. It is also possible to markedly accelerate the supporting routines that are used to set up the calculations and to obtain energies and forces. The resulting finite difference Poisson-Boltzmann method delivers efficiency comparable to the distance-dependent dielectric model for a system tested, HIV Protease, making it a strong candidate for solution-phase molecular dynamics simulations. Further, the finite difference method includes all intrasoluble electrostatic interactions, wheres the distance dependence dielectric calculations use a 15-Å cutoff. The speed of our numerical finite different method is comparable to that of the pair-wise Generalized Born approximation to the Poisson-Boltzmann method.","author":[{"dropping-particle":"","family":"Luo","given":"Ray","non-dropping-particle":"","parse-names":false,"suffix":""},{"dropping-particle":"","family":"David","given":"Laurent","non-dropping-particle":"","parse-names":false,"suffix":""},{"dropping-particle":"","family":"Gilson","given":"Michael K.","non-dropping-particle":"","parse-names":false,"suffix":""}],"container-title":"Journal of Computational Chemistry","id":"ITEM-1","issue":"13","issued":{"date-parts":[["2002"]]},"page":"1244-1253","title":"Accelerated Poisson-Boltzmann calculations for static and dynamic systems","type":"article-journal","volume":"23"},"uris":["http://www.mendeley.com/documents/?uuid=de3eaba8-0dc4-4715-b60b-44e3006e9be8"]}],"mendeley":{"formattedCitation":"(48)","manualFormatting":"48","plainTextFormattedCitation":"(48)","previouslyFormattedCitation":"(48)"},"properties":{"noteIndex":0},"schema":"https://github.com/citation-style-language/schema/raw/master/csl-citation.json"}</w:instrText>
      </w:r>
      <w:r w:rsidR="000E1F18" w:rsidRPr="007C0ACA">
        <w:rPr>
          <w:rFonts w:cstheme="minorHAnsi"/>
          <w:vertAlign w:val="superscript"/>
        </w:rPr>
        <w:fldChar w:fldCharType="separate"/>
      </w:r>
      <w:r w:rsidR="000E1F18" w:rsidRPr="007C0ACA">
        <w:rPr>
          <w:rFonts w:cstheme="minorHAnsi"/>
          <w:noProof/>
          <w:vertAlign w:val="superscript"/>
        </w:rPr>
        <w:t>48</w:t>
      </w:r>
      <w:r w:rsidR="000E1F18" w:rsidRPr="007C0ACA">
        <w:rPr>
          <w:rFonts w:cstheme="minorHAnsi"/>
          <w:vertAlign w:val="superscript"/>
        </w:rPr>
        <w:fldChar w:fldCharType="end"/>
      </w:r>
      <w:r w:rsidRPr="007C0ACA">
        <w:rPr>
          <w:rFonts w:cstheme="minorHAnsi"/>
        </w:rPr>
        <w:t>, or the simplified form, the Generalized Born (GB) method</w:t>
      </w:r>
      <w:r w:rsidR="000E1F18" w:rsidRPr="007C0ACA">
        <w:rPr>
          <w:rFonts w:cstheme="minorHAnsi"/>
          <w:vertAlign w:val="superscript"/>
        </w:rPr>
        <w:fldChar w:fldCharType="begin" w:fldLock="1"/>
      </w:r>
      <w:r w:rsidR="000E1F18" w:rsidRPr="007C0ACA">
        <w:rPr>
          <w:rFonts w:cstheme="minorHAnsi"/>
          <w:vertAlign w:val="superscript"/>
        </w:rPr>
        <w:instrText>ADDIN CSL_CITATION {"citationItems":[{"id":"ITEM-1","itemData":{"DOI":"10.1002/1097-0282(2000)56:4&lt;275::AID-BIP10024&gt;3.0.CO;2-E","ISSN":"00063525","abstract":"Generalized Born (GB) models provide an attractive way to include some thermodynamic aspects of aqueous solvation into simulations that do not explicitly model the solvent molecules. Here we discuss our recent experience with this model, presenting in detail the way it is implemented and parallelized in the AMBER molecular modeling code. We compare results using the GB model (or GB plus a surface-area based \"hydrophobic\" term) to explicit solvent simulations for a 10 base-pair DNA oligomer, and for the 108-residue protein thioredoxin. A slight modification of our earlier suggested parameters makes the GB results more like those found in explicit solvent, primarily by slightly increasing the strength of NH - O and NH - N internal hydrogen bonds. Timing and energy stability results are reported, with an eye toward using these model for simulations of larger macromolecular systems and longer time scales. © 2001 John Wiley  &amp;  Sons, Inc.","author":[{"dropping-particle":"","family":"Tsui","given":"Vickie","non-dropping-particle":"","parse-names":false,"suffix":""},{"dropping-particle":"","family":"Case","given":"David A.","non-dropping-particle":"","parse-names":false,"suffix":""}],"container-title":"Biopolymers","id":"ITEM-1","issue":"4","issued":{"date-parts":[["2000"]]},"page":"275-291","title":"Theory and applications of the Generalized Born solvation model in macromolecular simulations","type":"article-journal","volume":"56"},"uris":["http://www.mendeley.com/documents/?uuid=88e34f8f-c9cc-407e-a6b7-f464be5965a5"]}],"mendeley":{"formattedCitation":"(49)","manualFormatting":"49","plainTextFormattedCitation":"(49)","previouslyFormattedCitation":"(49)"},"properties":{"noteIndex":0},"schema":"https://github.com/citation-style-language/schema/raw/master/csl-citation.json"}</w:instrText>
      </w:r>
      <w:r w:rsidR="000E1F18" w:rsidRPr="007C0ACA">
        <w:rPr>
          <w:rFonts w:cstheme="minorHAnsi"/>
          <w:vertAlign w:val="superscript"/>
        </w:rPr>
        <w:fldChar w:fldCharType="separate"/>
      </w:r>
      <w:r w:rsidR="000E1F18" w:rsidRPr="007C0ACA">
        <w:rPr>
          <w:rFonts w:cstheme="minorHAnsi"/>
          <w:noProof/>
          <w:vertAlign w:val="superscript"/>
        </w:rPr>
        <w:t>49</w:t>
      </w:r>
      <w:r w:rsidR="000E1F18" w:rsidRPr="007C0ACA">
        <w:rPr>
          <w:rFonts w:cstheme="minorHAnsi"/>
          <w:vertAlign w:val="superscript"/>
        </w:rPr>
        <w:fldChar w:fldCharType="end"/>
      </w:r>
      <w:r w:rsidRPr="007C0ACA">
        <w:rPr>
          <w:rFonts w:cstheme="minorHAnsi"/>
        </w:rPr>
        <w:t>, for MMPBSA and MMGBSA algorithms</w:t>
      </w:r>
      <w:r w:rsidR="001A6CAC" w:rsidRPr="007C0ACA">
        <w:rPr>
          <w:rFonts w:cstheme="minorHAnsi"/>
        </w:rPr>
        <w:t>,</w:t>
      </w:r>
      <w:r w:rsidRPr="007C0ACA">
        <w:rPr>
          <w:rFonts w:cstheme="minorHAnsi"/>
        </w:rPr>
        <w:t xml:space="preserve"> respectively. </w:t>
      </w:r>
      <w:r w:rsidR="0021716B" w:rsidRPr="007C0ACA">
        <w:rPr>
          <w:rFonts w:cstheme="minorHAnsi"/>
        </w:rPr>
        <w:t xml:space="preserve">In the present work, we used the Onufriev-Bashford-Case (OBC) </w:t>
      </w:r>
      <w:r w:rsidR="00CD48FB" w:rsidRPr="007C0ACA">
        <w:rPr>
          <w:rFonts w:cstheme="minorHAnsi"/>
        </w:rPr>
        <w:t>generalised</w:t>
      </w:r>
      <w:r w:rsidR="0021716B" w:rsidRPr="007C0ACA">
        <w:rPr>
          <w:rFonts w:cstheme="minorHAnsi"/>
        </w:rPr>
        <w:t xml:space="preserve"> Born method (igb=2)</w:t>
      </w:r>
      <w:r w:rsidR="000E1F18" w:rsidRPr="007C0ACA">
        <w:rPr>
          <w:rFonts w:cstheme="minorHAnsi"/>
          <w:vertAlign w:val="superscript"/>
        </w:rPr>
        <w:fldChar w:fldCharType="begin" w:fldLock="1"/>
      </w:r>
      <w:r w:rsidR="000E1F18" w:rsidRPr="007C0ACA">
        <w:rPr>
          <w:rFonts w:cstheme="minorHAnsi"/>
          <w:vertAlign w:val="superscript"/>
        </w:rPr>
        <w:instrText>ADDIN CSL_CITATION {"citationItems":[{"id":"ITEM-1","itemData":{"DOI":"10.1002/prot.20033","ISSN":"08873585","abstract":"Implicit solvation models provide, for many applications, a reasonably accurate and computationally effective way to describe the electrostatics of aqueous solvation. Here, a popular analytical Generalized Born (GB) solvation model is modified to improve its accuracy in calculating the solvent polarization part of free energy changes in large-scale conformational transitions, such as protein folding. In contrast to an earlier GB model (implemented in the AMBER-6 program), the improved version does not overstabilize the native structures relative to the finite-difference Poisson-Boltzmann continuum treatment. In addition to improving the energy balance between folded and unfolded conformers, the algorithm (available in the AMBER-7 and NAB molecular modeling packages) is shown to perform well in more than 50 ns of native-state molecular dynamics (MD) simulations of thioredoxin, protein-A, and ubiquitin, as well as in a simulation of Barnase/Barstar complex formation. For thioredoxin, various combinations of input parameters have been explored, such as the underlying gas-phase force fields and the atomic radii. The best performance is achieved with a previously proposed modification to the torsional potential in the Amber ff99 force field, which yields stable native trajectories for all of the tested proteins, with backbone root-mean-square deviations from the native structures being approximately 1.5 A after 6 ns of simulation time. The structure of Barnase/Barstar complex is regenerated, starting from an unbound state, to within 1.9 A relative to the crystal structure of the complex.","author":[{"dropping-particle":"","family":"Onufriev","given":"Alexey","non-dropping-particle":"","parse-names":false,"suffix":""},{"dropping-particle":"","family":"Bashford","given":"Donald","non-dropping-particle":"","parse-names":false,"suffix":""},{"dropping-particle":"","family":"Case","given":"David A.","non-dropping-particle":"","parse-names":false,"suffix":""}],"container-title":"Proteins: Structure, Function and Genetics","id":"ITEM-1","issue":"2","issued":{"date-parts":[["2004"]]},"page":"383-394","title":"Exploring Protein Native States and Large-Scale Conformational Changes with a Modified Generalized Born Model","type":"article-journal","volume":"55"},"uris":["http://www.mendeley.com/documents/?uuid=80f13492-e158-4d30-8b39-2b74d5544794"]}],"mendeley":{"formattedCitation":"(50)","manualFormatting":"50","plainTextFormattedCitation":"(50)","previouslyFormattedCitation":"(50)"},"properties":{"noteIndex":0},"schema":"https://github.com/citation-style-language/schema/raw/master/csl-citation.json"}</w:instrText>
      </w:r>
      <w:r w:rsidR="000E1F18" w:rsidRPr="007C0ACA">
        <w:rPr>
          <w:rFonts w:cstheme="minorHAnsi"/>
          <w:vertAlign w:val="superscript"/>
        </w:rPr>
        <w:fldChar w:fldCharType="separate"/>
      </w:r>
      <w:r w:rsidR="000E1F18" w:rsidRPr="007C0ACA">
        <w:rPr>
          <w:rFonts w:cstheme="minorHAnsi"/>
          <w:noProof/>
          <w:vertAlign w:val="superscript"/>
        </w:rPr>
        <w:t>50</w:t>
      </w:r>
      <w:r w:rsidR="000E1F18" w:rsidRPr="007C0ACA">
        <w:rPr>
          <w:rFonts w:cstheme="minorHAnsi"/>
          <w:vertAlign w:val="superscript"/>
        </w:rPr>
        <w:fldChar w:fldCharType="end"/>
      </w:r>
      <w:r w:rsidR="0021716B" w:rsidRPr="007C0ACA">
        <w:rPr>
          <w:rFonts w:cstheme="minorHAnsi"/>
        </w:rPr>
        <w:t xml:space="preserve">.  </w:t>
      </w:r>
      <w:r w:rsidRPr="007C0ACA">
        <w:rPr>
          <w:rFonts w:cstheme="minorHAnsi"/>
        </w:rPr>
        <w:t xml:space="preserve">Regarding to </w:t>
      </w:r>
      <m:oMath>
        <m:r>
          <m:rPr>
            <m:sty m:val="p"/>
          </m:rPr>
          <w:rPr>
            <w:rFonts w:ascii="Cambria Math" w:hAnsi="Cambria Math"/>
            <w:vertAlign w:val="subscript"/>
          </w:rPr>
          <m:t>Δ</m:t>
        </m:r>
        <m:sSubSup>
          <m:sSubSupPr>
            <m:ctrlPr>
              <w:rPr>
                <w:rFonts w:ascii="Cambria Math" w:hAnsi="Cambria Math"/>
                <w:i/>
                <w:vertAlign w:val="subscript"/>
              </w:rPr>
            </m:ctrlPr>
          </m:sSubSupPr>
          <m:e>
            <m:r>
              <w:rPr>
                <w:rFonts w:ascii="Cambria Math" w:hAnsi="Cambria Math"/>
                <w:vertAlign w:val="subscript"/>
              </w:rPr>
              <m:t>G</m:t>
            </m:r>
          </m:e>
          <m:sub>
            <m:r>
              <w:rPr>
                <w:rFonts w:ascii="Cambria Math" w:hAnsi="Cambria Math"/>
                <w:vertAlign w:val="subscript"/>
              </w:rPr>
              <m:t>nonpolar</m:t>
            </m:r>
          </m:sub>
          <m:sup>
            <m:r>
              <w:rPr>
                <w:rFonts w:ascii="Cambria Math" w:hAnsi="Cambria Math"/>
                <w:vertAlign w:val="subscript"/>
              </w:rPr>
              <m:t>solv</m:t>
            </m:r>
          </m:sup>
        </m:sSubSup>
      </m:oMath>
      <w:r w:rsidRPr="007C0ACA">
        <w:rPr>
          <w:rFonts w:cstheme="minorHAnsi"/>
          <w:vertAlign w:val="subscript"/>
        </w:rPr>
        <w:t>r</w:t>
      </w:r>
      <w:r w:rsidRPr="007C0ACA">
        <w:rPr>
          <w:rFonts w:cstheme="minorHAnsi"/>
        </w:rPr>
        <w:t>, it can be calculated using the following equation:</w:t>
      </w:r>
    </w:p>
    <w:p w14:paraId="0D9FA884" w14:textId="576806A6" w:rsidR="00DE1BE8" w:rsidRPr="007C0ACA" w:rsidRDefault="009850F4" w:rsidP="00DE1BE8">
      <w:pPr>
        <w:spacing w:line="276" w:lineRule="auto"/>
        <w:jc w:val="both"/>
        <w:rPr>
          <w:rFonts w:eastAsiaTheme="minorEastAsia"/>
        </w:rPr>
      </w:pPr>
      <m:oMathPara>
        <m:oMath>
          <m:sSubSup>
            <m:sSubSupPr>
              <m:ctrlPr>
                <w:rPr>
                  <w:rFonts w:ascii="Cambria Math" w:hAnsi="Cambria Math"/>
                  <w:i/>
                </w:rPr>
              </m:ctrlPr>
            </m:sSubSupPr>
            <m:e>
              <m:r>
                <m:rPr>
                  <m:sty m:val="p"/>
                </m:rPr>
                <w:rPr>
                  <w:rFonts w:ascii="Cambria Math" w:hAnsi="Cambria Math"/>
                  <w:vertAlign w:val="subscript"/>
                </w:rPr>
                <m:t>ΔG</m:t>
              </m:r>
            </m:e>
            <m:sub>
              <m:r>
                <w:rPr>
                  <w:rFonts w:ascii="Cambria Math" w:hAnsi="Cambria Math"/>
                </w:rPr>
                <m:t>nonpolar</m:t>
              </m:r>
            </m:sub>
            <m:sup>
              <m:r>
                <w:rPr>
                  <w:rFonts w:ascii="Cambria Math" w:hAnsi="Cambria Math"/>
                </w:rPr>
                <m:t>solv</m:t>
              </m:r>
            </m:sup>
          </m:sSubSup>
          <m:r>
            <w:rPr>
              <w:rFonts w:ascii="Cambria Math" w:hAnsi="Cambria Math"/>
            </w:rPr>
            <m:t>=γSASA+ β</m:t>
          </m:r>
        </m:oMath>
      </m:oMathPara>
    </w:p>
    <w:p w14:paraId="004404C3" w14:textId="030C6375" w:rsidR="004233B5" w:rsidRPr="007C0ACA" w:rsidRDefault="00DE1BE8" w:rsidP="007E368F">
      <w:pPr>
        <w:spacing w:line="276" w:lineRule="auto"/>
        <w:jc w:val="both"/>
      </w:pPr>
      <w:r w:rsidRPr="007C0ACA">
        <w:t>where SASA is the Solvent-Accessible Surface Area,</w:t>
      </w:r>
      <w:r w:rsidRPr="007C0ACA">
        <w:rPr>
          <w:rFonts w:cstheme="minorHAnsi"/>
        </w:rPr>
        <w:t xml:space="preserve"> calculated using the </w:t>
      </w:r>
      <w:r w:rsidR="00845974" w:rsidRPr="007C0ACA">
        <w:rPr>
          <w:sz w:val="21"/>
          <w:szCs w:val="21"/>
        </w:rPr>
        <w:t>linear combinations of pairwise overlaps</w:t>
      </w:r>
      <w:r w:rsidR="00845974" w:rsidRPr="007C0ACA">
        <w:rPr>
          <w:rFonts w:cstheme="minorHAnsi"/>
        </w:rPr>
        <w:t xml:space="preserve"> (</w:t>
      </w:r>
      <w:r w:rsidRPr="007C0ACA">
        <w:rPr>
          <w:rFonts w:cstheme="minorHAnsi"/>
        </w:rPr>
        <w:t>LCPO</w:t>
      </w:r>
      <w:r w:rsidR="00845974" w:rsidRPr="007C0ACA">
        <w:rPr>
          <w:rFonts w:cstheme="minorHAnsi"/>
        </w:rPr>
        <w:t>)</w:t>
      </w:r>
      <w:r w:rsidRPr="007C0ACA">
        <w:rPr>
          <w:rFonts w:cstheme="minorHAnsi"/>
        </w:rPr>
        <w:t xml:space="preserve"> method,</w:t>
      </w:r>
      <w:r w:rsidR="000E1F18" w:rsidRPr="007C0ACA">
        <w:rPr>
          <w:rFonts w:cstheme="minorHAnsi"/>
          <w:vertAlign w:val="superscript"/>
        </w:rPr>
        <w:fldChar w:fldCharType="begin" w:fldLock="1"/>
      </w:r>
      <w:r w:rsidR="000E1F18" w:rsidRPr="007C0ACA">
        <w:rPr>
          <w:rFonts w:cstheme="minorHAnsi"/>
          <w:vertAlign w:val="superscript"/>
        </w:rPr>
        <w:instrText>ADDIN CSL_CITATION {"citationItems":[{"id":"ITEM-1","itemData":{"DOI":"10.1002/(SICI)1097-0282(19991005)50:4&lt;373::AID-BIP3&gt;3.0.CO;2-U","ISSN":"00063525","abstract":"A fast analytical formula (TDND) has been derived for the calculation of approximate atomic and molecular solvent-accessible surface areas (SASA), as well as the first and second derivatives of these quantities with respect to atomic coordinates. Extending the work of Stouten et al. (Molecular Simulation, 1993, Vol. 10, pp. 97–120), as well as our own (Journal of Computational Chemistry, 1999, Vol. 20, pp. 586–596), the method makes use of a Gaussian function to calculate the neighbor density in four tetrahedral directions in three-dimensional space, sometimes twice with different orientations. SASA and first derivatives of the 2366 heavy atoms of penicillopepsin are computed in 0.13 s on an SGI R10000/194 MHz processor. When second derivatives are computed as well, the total time is 0.23 s. This is considerably faster than timings reported previously for other algorithms. Based on a parameterization set of nineteen compounds of different size (11–4346 atoms) and class (organics, proteins, DNA, and various complexes) consisting of a total 23,197 atoms, the method exhibits relative errors in the range 0.2–12.6% for total molecular surface areas and average absolute atomic surface area deviations in the range 1.7 to 3.6 Å2. © 1999 John Wiley &amp; Sons, Inc. Biopoly 50: 373–380, 1999","author":[{"dropping-particle":"","family":"Weiser","given":"Jörg","non-dropping-particle":"","parse-names":false,"suffix":""},{"dropping-particle":"","family":"Shenkin","given":"Peter S.","non-dropping-particle":"","parse-names":false,"suffix":""},{"dropping-particle":"","family":"Still","given":"W. Clark","non-dropping-particle":"","parse-names":false,"suffix":""}],"container-title":"Biopolymers","id":"ITEM-1","issue":"4","issued":{"date-parts":[["1999"]]},"page":"373-380","title":"Approximate solvent-accessible surface areas from tetrahedrally directed neighbor densities","type":"article-journal","volume":"50"},"uris":["http://www.mendeley.com/documents/?uuid=f4a32978-8e0b-469b-86fd-fb10689b7609"]}],"mendeley":{"formattedCitation":"(51)","manualFormatting":"51","plainTextFormattedCitation":"(51)","previouslyFormattedCitation":"(51)"},"properties":{"noteIndex":0},"schema":"https://github.com/citation-style-language/schema/raw/master/csl-citation.json"}</w:instrText>
      </w:r>
      <w:r w:rsidR="000E1F18" w:rsidRPr="007C0ACA">
        <w:rPr>
          <w:rFonts w:cstheme="minorHAnsi"/>
          <w:vertAlign w:val="superscript"/>
        </w:rPr>
        <w:fldChar w:fldCharType="separate"/>
      </w:r>
      <w:r w:rsidR="000E1F18" w:rsidRPr="007C0ACA">
        <w:rPr>
          <w:rFonts w:cstheme="minorHAnsi"/>
          <w:noProof/>
          <w:vertAlign w:val="superscript"/>
        </w:rPr>
        <w:t>51</w:t>
      </w:r>
      <w:r w:rsidR="000E1F18" w:rsidRPr="007C0ACA">
        <w:rPr>
          <w:rFonts w:cstheme="minorHAnsi"/>
          <w:vertAlign w:val="superscript"/>
        </w:rPr>
        <w:fldChar w:fldCharType="end"/>
      </w:r>
      <w:r w:rsidR="00CC7623" w:rsidRPr="007C0ACA">
        <w:rPr>
          <w:rFonts w:cstheme="minorHAnsi"/>
        </w:rPr>
        <w:t xml:space="preserve"> </w:t>
      </w:r>
      <w:r w:rsidRPr="007C0ACA">
        <w:rPr>
          <w:rFonts w:cstheme="minorHAnsi"/>
        </w:rPr>
        <w:t>and the values for γ and β constants were set to 0,00542 kcal/mol·Å</w:t>
      </w:r>
      <w:r w:rsidRPr="007C0ACA">
        <w:rPr>
          <w:rFonts w:cstheme="minorHAnsi"/>
          <w:vertAlign w:val="superscript"/>
        </w:rPr>
        <w:t>2</w:t>
      </w:r>
      <w:r w:rsidRPr="007C0ACA">
        <w:rPr>
          <w:rFonts w:cstheme="minorHAnsi"/>
        </w:rPr>
        <w:t xml:space="preserve"> and 0,92 kcal/mol for MMPBSA</w:t>
      </w:r>
      <w:r w:rsidR="000E1F18" w:rsidRPr="007C0ACA">
        <w:rPr>
          <w:rFonts w:cstheme="minorHAnsi"/>
          <w:vertAlign w:val="superscript"/>
        </w:rPr>
        <w:fldChar w:fldCharType="begin" w:fldLock="1"/>
      </w:r>
      <w:r w:rsidR="000E1F18" w:rsidRPr="007C0ACA">
        <w:rPr>
          <w:rFonts w:cstheme="minorHAnsi"/>
          <w:vertAlign w:val="superscript"/>
        </w:rPr>
        <w:instrText>ADDIN CSL_CITATION {"citationItems":[{"id":"ITEM-1","itemData":{"DOI":"10.1021/jm049081q","ISSN":"00222623","abstract":"The MM-PBSA approach has become a popular method for calculating binding affinities of biomolecular complexes. Published application examples focus on small test sets and few proteins and, hence, are of limited relevance in assessing the general validity of this method. To further characterize MM-PBSA, we report on a more extensive study involving a large number of ligands and eight different proteins. Our results show that applying the MM-PBSA energy function to a single, relaxed complex structure is an adequate and sometimes more accurate approach than the standard free energy averaging over molecular dynamics snapshots. The use of MM-PBSA on a single structure is shown to be valuable (a) as a postdocking filter in further enriching virtual screening results, (b) as a helpful tool to prioritize de novo design solutions, and (c) for distinguishing between good and weak binders (DeltapIC(50) &gt; or = 2-3), but rarely to reproduce smaller free energy differences.","author":[{"dropping-particle":"","family":"Kuhn","given":"Bernd","non-dropping-particle":"","parse-names":false,"suffix":""},{"dropping-particle":"","family":"Gerber","given":"Paul","non-dropping-particle":"","parse-names":false,"suffix":""},{"dropping-particle":"","family":"Schulz-Gasch","given":"Tanja","non-dropping-particle":"","parse-names":false,"suffix":""},{"dropping-particle":"","family":"Stahl","given":"Martin","non-dropping-particle":"","parse-names":false,"suffix":""}],"container-title":"Journal of Medicinal Chemistry","id":"ITEM-1","issue":"12","issued":{"date-parts":[["2005"]]},"page":"4040-4048","title":"Validation and use of the MM-PBSA approach for drug discovery","type":"article-journal","volume":"48"},"uris":["http://www.mendeley.com/documents/?uuid=e8d87543-7d3f-4295-9a58-8a6d98063291"]}],"mendeley":{"formattedCitation":"(52)","manualFormatting":"52","plainTextFormattedCitation":"(52)","previouslyFormattedCitation":"(52)"},"properties":{"noteIndex":0},"schema":"https://github.com/citation-style-language/schema/raw/master/csl-citation.json"}</w:instrText>
      </w:r>
      <w:r w:rsidR="000E1F18" w:rsidRPr="007C0ACA">
        <w:rPr>
          <w:rFonts w:cstheme="minorHAnsi"/>
          <w:vertAlign w:val="superscript"/>
        </w:rPr>
        <w:fldChar w:fldCharType="separate"/>
      </w:r>
      <w:r w:rsidR="000E1F18" w:rsidRPr="007C0ACA">
        <w:rPr>
          <w:rFonts w:cstheme="minorHAnsi"/>
          <w:noProof/>
          <w:vertAlign w:val="superscript"/>
        </w:rPr>
        <w:t>52</w:t>
      </w:r>
      <w:r w:rsidR="000E1F18" w:rsidRPr="007C0ACA">
        <w:rPr>
          <w:rFonts w:cstheme="minorHAnsi"/>
          <w:vertAlign w:val="superscript"/>
        </w:rPr>
        <w:fldChar w:fldCharType="end"/>
      </w:r>
      <w:r w:rsidRPr="007C0ACA">
        <w:rPr>
          <w:rFonts w:cstheme="minorHAnsi"/>
        </w:rPr>
        <w:t xml:space="preserve"> and 0,0072 kcal/mol·Å</w:t>
      </w:r>
      <w:r w:rsidRPr="007C0ACA">
        <w:rPr>
          <w:rFonts w:cstheme="minorHAnsi"/>
          <w:vertAlign w:val="superscript"/>
        </w:rPr>
        <w:t>2</w:t>
      </w:r>
      <w:r w:rsidRPr="007C0ACA">
        <w:rPr>
          <w:rFonts w:cstheme="minorHAnsi"/>
        </w:rPr>
        <w:t xml:space="preserve"> and 0 kcal/mol for MMGBSA</w:t>
      </w:r>
      <w:r w:rsidR="000E1F18" w:rsidRPr="007C0ACA">
        <w:rPr>
          <w:rFonts w:cstheme="minorHAnsi"/>
          <w:vertAlign w:val="superscript"/>
        </w:rPr>
        <w:fldChar w:fldCharType="begin" w:fldLock="1"/>
      </w:r>
      <w:r w:rsidR="000E1F18" w:rsidRPr="007C0ACA">
        <w:rPr>
          <w:rFonts w:cstheme="minorHAnsi"/>
          <w:vertAlign w:val="superscript"/>
        </w:rPr>
        <w:instrText>ADDIN CSL_CITATION {"citationItems":[{"id":"ITEM-1","itemData":{"author":[{"dropping-particle":"","family":"Gohlke","given":"Holger","non-dropping-particle":"","parse-names":false,"suffix":""},{"dropping-particle":"","family":"Case","given":"David A","non-dropping-particle":"","parse-names":false,"suffix":""},{"dropping-particle":"","family":"Biology","given":"Molecular","non-dropping-particle":"","parse-names":false,"suffix":""},{"dropping-particle":"","family":"Scripps","given":"The","non-dropping-particle":"","parse-names":false,"suffix":""},{"dropping-particle":"","family":"Rd","given":"N Torrey Pines","non-dropping-particle":"","parse-names":false,"suffix":""}],"id":"ITEM-1","issued":{"date-parts":[["2003"]]},"page":"238-250","title":"Converging Free Energy Estimates : MM-PB ( GB ) SA Studies on the Protein – Protein Complex Ras – Raf","type":"article-journal"},"uris":["http://www.mendeley.com/documents/?uuid=06d5982a-ac8b-4e09-b54e-bb2c023987c0"]}],"mendeley":{"formattedCitation":"(53)","manualFormatting":"53","plainTextFormattedCitation":"(53)","previouslyFormattedCitation":"(53)"},"properties":{"noteIndex":0},"schema":"https://github.com/citation-style-language/schema/raw/master/csl-citation.json"}</w:instrText>
      </w:r>
      <w:r w:rsidR="000E1F18" w:rsidRPr="007C0ACA">
        <w:rPr>
          <w:rFonts w:cstheme="minorHAnsi"/>
          <w:vertAlign w:val="superscript"/>
        </w:rPr>
        <w:fldChar w:fldCharType="separate"/>
      </w:r>
      <w:r w:rsidR="000E1F18" w:rsidRPr="007C0ACA">
        <w:rPr>
          <w:rFonts w:cstheme="minorHAnsi"/>
          <w:noProof/>
          <w:vertAlign w:val="superscript"/>
        </w:rPr>
        <w:t>53</w:t>
      </w:r>
      <w:r w:rsidR="000E1F18" w:rsidRPr="007C0ACA">
        <w:rPr>
          <w:rFonts w:cstheme="minorHAnsi"/>
          <w:vertAlign w:val="superscript"/>
        </w:rPr>
        <w:fldChar w:fldCharType="end"/>
      </w:r>
      <w:r w:rsidRPr="007C0ACA">
        <w:t xml:space="preserve">. </w:t>
      </w:r>
      <w:r w:rsidR="004233B5" w:rsidRPr="007C0ACA">
        <w:t xml:space="preserve">The entropic term was calculated </w:t>
      </w:r>
      <w:r w:rsidR="00634402" w:rsidRPr="007C0ACA">
        <w:t xml:space="preserve">within the harmonic entropy approximation </w:t>
      </w:r>
      <w:r w:rsidR="004233B5" w:rsidRPr="007C0ACA">
        <w:t xml:space="preserve">using </w:t>
      </w:r>
      <w:r w:rsidR="00634402" w:rsidRPr="007C0ACA">
        <w:t xml:space="preserve">the </w:t>
      </w:r>
      <w:r w:rsidR="004233B5" w:rsidRPr="007C0ACA">
        <w:t xml:space="preserve">normal-mode analysis with default values </w:t>
      </w:r>
      <w:r w:rsidR="00634402" w:rsidRPr="007C0ACA">
        <w:t xml:space="preserve">as implemented in </w:t>
      </w:r>
      <w:r w:rsidR="004233B5" w:rsidRPr="007C0ACA">
        <w:t>the MMPBSA.py program</w:t>
      </w:r>
      <w:r w:rsidR="000E1F18" w:rsidRPr="007C0ACA">
        <w:rPr>
          <w:vertAlign w:val="superscript"/>
        </w:rPr>
        <w:fldChar w:fldCharType="begin" w:fldLock="1"/>
      </w:r>
      <w:r w:rsidR="00D74B7E" w:rsidRPr="007C0ACA">
        <w:rPr>
          <w:vertAlign w:val="superscript"/>
        </w:rPr>
        <w:instrText>ADDIN CSL_CITATION {"citationItems":[{"id":"ITEM-1","itemData":{"DOI":"10.1021/ct300418h","ISSN":"15499626","abstract":"MM-PBSA is a post-processing end-state method to calculate free energies of molecules in solution. MMPBSA.py is a program written in Python for streamlining end-state free energy calculations using ensembles derived from molecular dynamics (MD) or Monte Carlo (MC) simulations. Several implicit solvation models are available with MMPBSA.py, including the Poisson?Boltzmann Model, the Generalized Born Model, and the Reference Interaction Site Model. Vibrational frequencies may be calculated using normal mode or quasi-harmonic analysis to approximate the solute entropy. Specific interactions can also be dissected using free energy decomposition or alanine scanning. A parallel implementation significantly speeds up the calculation by dividing frames evenly across available processors. MMPBSA.py is an efficient, user-friendly program with the flexibility to accommodate the needs of users performing end-state free energy calculations. The source code can be downloaded at http://ambermd.org/ with AmberTools, released under the GNU General Public License. MM-PBSA is a post-processing end-state method to calculate free energies of molecules in solution. MMPBSA.py is a program written in Python for streamlining end-state free energy calculations using ensembles derived from molecular dynamics (MD) or Monte Carlo (MC) simulations. Several implicit solvation models are available with MMPBSA.py, including the Poisson?Boltzmann Model, the Generalized Born Model, and the Reference Interaction Site Model. Vibrational frequencies may be calculated using normal mode or quasi-harmonic analysis to approximate the solute entropy. Specific interactions can also be dissected using free energy decomposition or alanine scanning. A parallel implementation significantly speeds up the calculation by dividing frames evenly across available processors. MMPBSA.py is an efficient, user-friendly program with the flexibility to accommodate the needs of users performing end-state free energy calculations. The source code can be downloaded at http://ambermd.org/ with AmberTools, released under the GNU General Public License.","author":[{"dropping-particle":"","family":"Miller","given":"Bill R.","non-dropping-particle":"","parse-names":false,"suffix":""},{"dropping-particle":"","family":"McGee","given":"T. Dwight","non-dropping-particle":"","parse-names":false,"suffix":""},{"dropping-particle":"","family":"Swails","given":"Jason M.","non-dropping-particle":"","parse-names":false,"suffix":""},{"dropping-particle":"","family":"Homeyer","given":"Nadine","non-dropping-particle":"","parse-names":false,"suffix":""},{"dropping-particle":"","family":"Gohlke","given":"Holger","non-dropping-particle":"","parse-names":false,"suffix":""},{"dropping-particle":"","family":"Roitberg","given":"Adrian E.","non-dropping-particle":"","parse-names":false,"suffix":""}],"container-title":"Journal of Chemical Theory and Computation","id":"ITEM-1","issue":"9","issued":{"date-parts":[["2012"]]},"page":"3314-3321","title":"MMPBSA.py: An efficient program for end-state free energy calculations","type":"article-journal","volume":"8"},"uris":["http://www.mendeley.com/documents/?uuid=fc3c28c4-f4a9-4f71-af29-4529568ee5f5"]}],"mendeley":{"formattedCitation":"(54)","manualFormatting":"54","plainTextFormattedCitation":"(54)","previouslyFormattedCitation":"(54)"},"properties":{"noteIndex":0},"schema":"https://github.com/citation-style-language/schema/raw/master/csl-citation.json"}</w:instrText>
      </w:r>
      <w:r w:rsidR="000E1F18" w:rsidRPr="007C0ACA">
        <w:rPr>
          <w:vertAlign w:val="superscript"/>
        </w:rPr>
        <w:fldChar w:fldCharType="separate"/>
      </w:r>
      <w:r w:rsidR="000E1F18" w:rsidRPr="007C0ACA">
        <w:rPr>
          <w:noProof/>
          <w:vertAlign w:val="superscript"/>
        </w:rPr>
        <w:t>54</w:t>
      </w:r>
      <w:r w:rsidR="000E1F18" w:rsidRPr="007C0ACA">
        <w:rPr>
          <w:vertAlign w:val="superscript"/>
        </w:rPr>
        <w:fldChar w:fldCharType="end"/>
      </w:r>
      <w:r w:rsidR="004233B5" w:rsidRPr="007C0ACA">
        <w:t xml:space="preserve">. </w:t>
      </w:r>
      <w:r w:rsidR="00634402" w:rsidRPr="007C0ACA">
        <w:t xml:space="preserve">Because of the high computational requirements, the entropic contribution was averaged over </w:t>
      </w:r>
      <w:r w:rsidR="00462C17" w:rsidRPr="007C0ACA">
        <w:t>8</w:t>
      </w:r>
      <w:r w:rsidR="002F612D" w:rsidRPr="007C0ACA">
        <w:t>0</w:t>
      </w:r>
      <w:r w:rsidR="00634402" w:rsidRPr="007C0ACA">
        <w:t xml:space="preserve"> snapshots extracted at a time interval of </w:t>
      </w:r>
      <w:r w:rsidR="00462C17" w:rsidRPr="007C0ACA">
        <w:t>250</w:t>
      </w:r>
      <w:r w:rsidR="00ED01CD" w:rsidRPr="007C0ACA">
        <w:t xml:space="preserve"> </w:t>
      </w:r>
      <w:r w:rsidR="00462C17" w:rsidRPr="007C0ACA">
        <w:t>ps</w:t>
      </w:r>
      <w:r w:rsidR="00634402" w:rsidRPr="007C0ACA">
        <w:t xml:space="preserve"> from the last </w:t>
      </w:r>
      <w:r w:rsidR="002F612D" w:rsidRPr="007C0ACA">
        <w:t>20</w:t>
      </w:r>
      <w:r w:rsidR="00ED01CD" w:rsidRPr="007C0ACA">
        <w:t xml:space="preserve"> </w:t>
      </w:r>
      <w:r w:rsidR="00634402" w:rsidRPr="007C0ACA">
        <w:t>ns of each trajectory</w:t>
      </w:r>
      <w:r w:rsidR="004233B5" w:rsidRPr="007C0ACA">
        <w:t>.</w:t>
      </w:r>
    </w:p>
    <w:p w14:paraId="2F869C0B" w14:textId="0A07295F" w:rsidR="00DE1BE8" w:rsidRPr="007C0ACA" w:rsidRDefault="00DE1BE8" w:rsidP="00C55071">
      <w:pPr>
        <w:spacing w:line="276" w:lineRule="auto"/>
        <w:ind w:firstLine="720"/>
        <w:jc w:val="both"/>
      </w:pPr>
      <w:r w:rsidRPr="007C0ACA">
        <w:t xml:space="preserve">In </w:t>
      </w:r>
      <w:r w:rsidR="009C0C2B" w:rsidRPr="007C0ACA">
        <w:t>the present</w:t>
      </w:r>
      <w:r w:rsidRPr="007C0ACA">
        <w:t xml:space="preserve"> work, binding free energies of the Bak/Bid, Bak/Bim, Bak/BidAib</w:t>
      </w:r>
      <w:r w:rsidRPr="007C0ACA">
        <w:rPr>
          <w:vertAlign w:val="subscript"/>
        </w:rPr>
        <w:t>2</w:t>
      </w:r>
      <w:r w:rsidRPr="007C0ACA">
        <w:t xml:space="preserve"> and Bak/Bim(h3Pc) complexes were </w:t>
      </w:r>
      <w:r w:rsidR="009C0C2B" w:rsidRPr="007C0ACA">
        <w:t>computed</w:t>
      </w:r>
      <w:r w:rsidRPr="007C0ACA">
        <w:t xml:space="preserve"> from three MD trajectories using MMPBSA and  MMGBSA</w:t>
      </w:r>
      <w:r w:rsidR="00F76C86" w:rsidRPr="007C0ACA">
        <w:t xml:space="preserve"> and the</w:t>
      </w:r>
      <w:r w:rsidRPr="007C0ACA">
        <w:t xml:space="preserve"> </w:t>
      </w:r>
      <w:r w:rsidR="00F76C86" w:rsidRPr="007C0ACA">
        <w:t>e</w:t>
      </w:r>
      <w:r w:rsidRPr="007C0ACA">
        <w:t>nergy values were averaged over 50</w:t>
      </w:r>
      <w:r w:rsidR="00D1426D" w:rsidRPr="007C0ACA">
        <w:t xml:space="preserve"> </w:t>
      </w:r>
      <w:r w:rsidRPr="007C0ACA">
        <w:t>ns after ensuring that each of these trajectories was stable.</w:t>
      </w:r>
    </w:p>
    <w:p w14:paraId="5A1D1608" w14:textId="77777777" w:rsidR="00DE1BE8" w:rsidRPr="007C0ACA" w:rsidRDefault="00DE1BE8" w:rsidP="00F972F9">
      <w:pPr>
        <w:pStyle w:val="Ttol3"/>
        <w:spacing w:after="120"/>
      </w:pPr>
      <w:bookmarkStart w:id="6" w:name="_Toc518637939"/>
      <w:r w:rsidRPr="007C0ACA">
        <w:t>Free Energy Decomposition</w:t>
      </w:r>
      <w:bookmarkEnd w:id="6"/>
    </w:p>
    <w:p w14:paraId="28E3080D" w14:textId="6C8F49DF" w:rsidR="00DE1BE8" w:rsidRPr="007C0ACA" w:rsidRDefault="00DE1BE8" w:rsidP="00C55071">
      <w:pPr>
        <w:spacing w:line="276" w:lineRule="auto"/>
        <w:ind w:firstLine="720"/>
        <w:jc w:val="both"/>
      </w:pPr>
      <w:r w:rsidRPr="007C0ACA">
        <w:t xml:space="preserve">Contribution </w:t>
      </w:r>
      <w:r w:rsidR="009C0C2B" w:rsidRPr="007C0ACA">
        <w:t xml:space="preserve">to the binding free energy of each of the residues of the BH3 peptides in each complex was </w:t>
      </w:r>
      <w:r w:rsidRPr="007C0ACA">
        <w:t xml:space="preserve">analysed </w:t>
      </w:r>
      <w:r w:rsidR="002A7143" w:rsidRPr="007C0ACA">
        <w:t>with</w:t>
      </w:r>
      <w:r w:rsidR="008C418A" w:rsidRPr="007C0ACA">
        <w:t xml:space="preserve"> the</w:t>
      </w:r>
      <w:r w:rsidRPr="007C0ACA">
        <w:t xml:space="preserve"> MMGBSA decomposition method</w:t>
      </w:r>
      <w:r w:rsidR="00D74B7E" w:rsidRPr="007C0ACA">
        <w:rPr>
          <w:vertAlign w:val="superscript"/>
        </w:rPr>
        <w:fldChar w:fldCharType="begin" w:fldLock="1"/>
      </w:r>
      <w:r w:rsidR="00D74B7E" w:rsidRPr="007C0ACA">
        <w:rPr>
          <w:vertAlign w:val="superscript"/>
        </w:rPr>
        <w:instrText>ADDIN CSL_CITATION {"citationItems":[{"id":"ITEM-1","itemData":{"DOI":"10.1016/S0022-2836(03)00610-7","ISSN":"00222836","abstract":"Absolute binding free energy calculations and free energy decompositions are presented for the protein-protein complexes H-Ras/C-Raf1 and H-Ras/RalGDS. Ras is a central switch in the regulation of cell proliferation and differentiation. In our study, we investigate the capability of the molecular mechanics (MM)-generalized Born surface area (GBSA) approach to estimate absolute binding free energies for the protein-protein complexes. Averaging gas-phase energies, solvation free energies, and entropic contributions over snapshots extracted from trajectories of the unbound proteins and the complexes, calculated binding free energies (Ras-Raf: -15.0(+/-6.3)kcal mol(-1); Ras-RalGDS: -19.5(+/-5.9)kcal mol(-1)) are in fair agreement with experimentally determined values (-9.6 kcal mol(-1); -8.4 kcal mol(-1)), if appropriate ionic strength is taken into account. Structural determinants of the binding affinity of Ras-Raf and Ras-RalGDS are identified by means of free energy decomposition. For the first time, computationally inexpensive generalized Born (GB) calculations are applied in this context to partition solvation free energies along with gas-phase energies between residues of both binding partners. For selected residues, in addition, entropic contributions are estimated by classical statistical mechanics. Comparison of the decomposition results with experimentally determined binding free energy differences for alanine mutants of interface residues yielded correlations with r(2)=0.55 and 0.46 for Ras-Raf and Ras-RalGDS, respectively. Extension of the decomposition reveals residues as far apart as 25A from the binding epitope that can contribute significantly to binding free energy. These \"hotspots\" are found to show large atomic fluctuations in the unbound proteins, indicating that they reside in structurally less stable regions. Furthermore, hotspot residues experience a significantly larger-than-average decrease in local fluctuations upon complex formation. Finally, by calculating a pair-wise decomposition of interactions, interaction pathways originating in the binding epitope of Raf are found that protrude through the protein structure towards the loop L1. This explains the finding of a conformational change in this region upon complex formation with Ras, and it may trigger a larger structural change in Raf, which is considered to be necessary for activation of the effector by Ras.","author":[{"dropping-particle":"","family":"Gohlke","given":"Holger","non-dropping-particle":"","parse-names":false,"suffix":""},{"dropping-particle":"","family":"Kiel","given":"Christina","non-dropping-particle":"","parse-names":false,"suffix":""},{"dropping-particle":"","family":"Case","given":"David A.","non-dropping-particle":"","parse-names":false,"suffix":""}],"container-title":"Journal of molecular biology","id":"ITEM-1","issue":"4","issued":{"date-parts":[["2003"]]},"page":"891-913","title":"Insights into protein-protein binding by binding free energy calculation and free energy decomposition for the Ras-Raf and Ras-RalGDS complexes.","type":"article-journal","volume":"330"},"uris":["http://www.mendeley.com/documents/?uuid=164ad15f-551d-429d-a725-9f9b363fa6ac"]}],"mendeley":{"formattedCitation":"(55)","manualFormatting":"55","plainTextFormattedCitation":"(55)","previouslyFormattedCitation":"(55)"},"properties":{"noteIndex":0},"schema":"https://github.com/citation-style-language/schema/raw/master/csl-citation.json"}</w:instrText>
      </w:r>
      <w:r w:rsidR="00D74B7E" w:rsidRPr="007C0ACA">
        <w:rPr>
          <w:vertAlign w:val="superscript"/>
        </w:rPr>
        <w:fldChar w:fldCharType="separate"/>
      </w:r>
      <w:r w:rsidR="00D74B7E" w:rsidRPr="007C0ACA">
        <w:rPr>
          <w:noProof/>
          <w:vertAlign w:val="superscript"/>
        </w:rPr>
        <w:t>55</w:t>
      </w:r>
      <w:r w:rsidR="00D74B7E" w:rsidRPr="007C0ACA">
        <w:rPr>
          <w:vertAlign w:val="superscript"/>
        </w:rPr>
        <w:fldChar w:fldCharType="end"/>
      </w:r>
      <w:r w:rsidRPr="007C0ACA">
        <w:t xml:space="preserve"> </w:t>
      </w:r>
      <w:r w:rsidR="000E42AE" w:rsidRPr="007C0ACA">
        <w:t xml:space="preserve">using </w:t>
      </w:r>
      <w:r w:rsidRPr="007C0ACA">
        <w:t xml:space="preserve">the </w:t>
      </w:r>
      <w:r w:rsidR="000E42AE" w:rsidRPr="007C0ACA">
        <w:t>MMPBSA.py</w:t>
      </w:r>
      <w:r w:rsidRPr="007C0ACA">
        <w:t xml:space="preserve"> </w:t>
      </w:r>
      <w:r w:rsidR="000E42AE" w:rsidRPr="007C0ACA">
        <w:t xml:space="preserve">module </w:t>
      </w:r>
      <w:r w:rsidRPr="007C0ACA">
        <w:t xml:space="preserve">of AMBER16. </w:t>
      </w:r>
      <w:r w:rsidR="00207243" w:rsidRPr="007C0ACA">
        <w:t>The</w:t>
      </w:r>
      <w:r w:rsidRPr="007C0ACA">
        <w:t xml:space="preserve"> procedure was carried out using the GB approach to calculate the electrostatic component of the solvation energy </w:t>
      </w:r>
      <w:r w:rsidR="00ED022A" w:rsidRPr="007C0ACA">
        <w:t>and LCPO</w:t>
      </w:r>
      <w:r w:rsidRPr="007C0ACA">
        <w:t xml:space="preserve"> for the nonpolar component. All energy components were calculated using the snapshots corresponding to the last </w:t>
      </w:r>
      <w:r w:rsidR="00D74B7E" w:rsidRPr="007C0ACA">
        <w:t>5</w:t>
      </w:r>
      <w:r w:rsidRPr="007C0ACA">
        <w:t>0</w:t>
      </w:r>
      <w:r w:rsidR="007B6F7C" w:rsidRPr="007C0ACA">
        <w:t xml:space="preserve"> </w:t>
      </w:r>
      <w:r w:rsidRPr="007C0ACA">
        <w:t xml:space="preserve">ns </w:t>
      </w:r>
      <w:r w:rsidR="00B342BD" w:rsidRPr="007C0ACA">
        <w:t>of each MD trajectory from each complex.</w:t>
      </w:r>
    </w:p>
    <w:p w14:paraId="28B897B7" w14:textId="77777777" w:rsidR="00DE1BE8" w:rsidRPr="007C0ACA" w:rsidRDefault="00DE1BE8" w:rsidP="00F972F9">
      <w:pPr>
        <w:pStyle w:val="Ttol3"/>
        <w:spacing w:after="120"/>
      </w:pPr>
      <w:bookmarkStart w:id="7" w:name="_Toc518637940"/>
      <w:r w:rsidRPr="007C0ACA">
        <w:t xml:space="preserve">Analysis of </w:t>
      </w:r>
      <w:bookmarkEnd w:id="7"/>
      <w:r w:rsidRPr="007C0ACA">
        <w:t>Hydrogen Bonds</w:t>
      </w:r>
    </w:p>
    <w:p w14:paraId="4CA11BC6" w14:textId="2A1F26C3" w:rsidR="00DE1BE8" w:rsidRPr="007C0ACA" w:rsidRDefault="00DE1BE8" w:rsidP="00C55071">
      <w:pPr>
        <w:spacing w:line="276" w:lineRule="auto"/>
        <w:ind w:firstLine="720"/>
        <w:jc w:val="both"/>
        <w:rPr>
          <w:rFonts w:eastAsiaTheme="minorEastAsia"/>
        </w:rPr>
      </w:pPr>
      <w:r w:rsidRPr="007C0ACA">
        <w:t xml:space="preserve">Hydrogen bonds between </w:t>
      </w:r>
      <w:r w:rsidR="00F9309B" w:rsidRPr="007C0ACA">
        <w:t xml:space="preserve">the </w:t>
      </w:r>
      <w:r w:rsidRPr="007C0ACA">
        <w:t xml:space="preserve">Bak protein and the </w:t>
      </w:r>
      <w:r w:rsidR="00D062D2" w:rsidRPr="007C0ACA">
        <w:t>BH3 peptide</w:t>
      </w:r>
      <w:r w:rsidR="006F41FF" w:rsidRPr="007C0ACA">
        <w:t xml:space="preserve"> ligands</w:t>
      </w:r>
      <w:r w:rsidR="00D062D2" w:rsidRPr="007C0ACA">
        <w:t xml:space="preserve"> were also analy</w:t>
      </w:r>
      <w:r w:rsidR="003329E5" w:rsidRPr="007C0ACA">
        <w:t>s</w:t>
      </w:r>
      <w:r w:rsidR="00D062D2" w:rsidRPr="007C0ACA">
        <w:t xml:space="preserve">ed using the </w:t>
      </w:r>
      <w:r w:rsidR="00D062D2" w:rsidRPr="007C0ACA">
        <w:rPr>
          <w:i/>
        </w:rPr>
        <w:t>cpptraj</w:t>
      </w:r>
      <w:r w:rsidR="00D062D2" w:rsidRPr="007C0ACA">
        <w:t xml:space="preserve"> module of AMBER16.</w:t>
      </w:r>
      <w:r w:rsidRPr="007C0ACA">
        <w:t xml:space="preserve"> The </w:t>
      </w:r>
      <w:r w:rsidR="00DF4F17" w:rsidRPr="007C0ACA">
        <w:t xml:space="preserve">presence </w:t>
      </w:r>
      <w:r w:rsidRPr="007C0ACA">
        <w:t xml:space="preserve">of these bonds was calculated over the last </w:t>
      </w:r>
      <w:r w:rsidR="00D74B7E" w:rsidRPr="007C0ACA">
        <w:t>5</w:t>
      </w:r>
      <w:r w:rsidRPr="007C0ACA">
        <w:t>0</w:t>
      </w:r>
      <w:r w:rsidR="00F9309B" w:rsidRPr="007C0ACA">
        <w:t xml:space="preserve"> </w:t>
      </w:r>
      <w:r w:rsidRPr="007C0ACA">
        <w:t xml:space="preserve">ns of simulation time, and only hydrogen bonds with occupancies greater or equal to 60% were considered. Criteria used for hydrogen bonding was that the distance between the hydrogen-bond acceptor and the hydrogen-bond donor </w:t>
      </w:r>
      <w:r w:rsidR="00D062D2" w:rsidRPr="007C0ACA">
        <w:t>was</w:t>
      </w:r>
      <w:r w:rsidRPr="007C0ACA">
        <w:t xml:space="preserve"> lower than 3.0 </w:t>
      </w:r>
      <w:r w:rsidRPr="007C0ACA">
        <w:rPr>
          <w:rFonts w:cstheme="minorHAnsi"/>
        </w:rPr>
        <w:t>Å</w:t>
      </w:r>
      <w:r w:rsidRPr="007C0ACA">
        <w:t xml:space="preserve"> and the angle between Acceptor – H – Donor more than 135</w:t>
      </w:r>
      <m:oMath>
        <m:r>
          <w:rPr>
            <w:rFonts w:ascii="Cambria Math" w:hAnsi="Cambria Math"/>
          </w:rPr>
          <m:t>°</m:t>
        </m:r>
      </m:oMath>
      <w:r w:rsidRPr="007C0ACA">
        <w:rPr>
          <w:rFonts w:eastAsiaTheme="minorEastAsia"/>
        </w:rPr>
        <w:t>.</w:t>
      </w:r>
    </w:p>
    <w:p w14:paraId="11709AF6" w14:textId="5DF2B373" w:rsidR="002E53C1" w:rsidRPr="007C0ACA" w:rsidRDefault="00DE1BE8" w:rsidP="00F972F9">
      <w:pPr>
        <w:pStyle w:val="Ttol3"/>
        <w:spacing w:after="120"/>
      </w:pPr>
      <w:bookmarkStart w:id="8" w:name="_Toc518637941"/>
      <w:r w:rsidRPr="007C0ACA">
        <w:t>Clusterization</w:t>
      </w:r>
      <w:bookmarkEnd w:id="8"/>
    </w:p>
    <w:p w14:paraId="0BC4A45A" w14:textId="405908D1" w:rsidR="00DE1BE8" w:rsidRPr="007C0ACA" w:rsidRDefault="003B3A06" w:rsidP="00C55071">
      <w:pPr>
        <w:spacing w:line="276" w:lineRule="auto"/>
        <w:ind w:firstLine="720"/>
        <w:jc w:val="both"/>
      </w:pPr>
      <w:r w:rsidRPr="007C0ACA">
        <w:t>In order to identify the stereochemical features that characterize the binding of different BH3 peptides, s</w:t>
      </w:r>
      <w:r w:rsidR="00DE1BE8" w:rsidRPr="007C0ACA">
        <w:t xml:space="preserve">imilar structures </w:t>
      </w:r>
      <w:r w:rsidR="00A26E28" w:rsidRPr="007C0ACA">
        <w:t>in each</w:t>
      </w:r>
      <w:r w:rsidR="00DE1BE8" w:rsidRPr="007C0ACA">
        <w:t xml:space="preserve"> complex were grouped into </w:t>
      </w:r>
      <w:r w:rsidR="00187A2E" w:rsidRPr="007C0ACA">
        <w:t xml:space="preserve">10 </w:t>
      </w:r>
      <w:r w:rsidR="00DE1BE8" w:rsidRPr="007C0ACA">
        <w:t xml:space="preserve">different clusters using the </w:t>
      </w:r>
      <w:r w:rsidR="00BA29F0" w:rsidRPr="007C0ACA">
        <w:t xml:space="preserve">average </w:t>
      </w:r>
      <w:r w:rsidR="00BA29F0" w:rsidRPr="007C0ACA">
        <w:lastRenderedPageBreak/>
        <w:t>linkage algorithm,</w:t>
      </w:r>
      <w:r w:rsidR="00BA29F0" w:rsidRPr="007C0ACA">
        <w:rPr>
          <w:vertAlign w:val="superscript"/>
        </w:rPr>
        <w:fldChar w:fldCharType="begin" w:fldLock="1"/>
      </w:r>
      <w:r w:rsidR="00BA29F0" w:rsidRPr="007C0ACA">
        <w:rPr>
          <w:vertAlign w:val="superscript"/>
        </w:rPr>
        <w:instrText>ADDIN CSL_CITATION {"citationItems":[{"id":"ITEM-1","itemData":{"DOI":"10.1007/978-1-4471-6735-8_6","ISSN":"21978441","abstract":"© Springer-Verlag London 2015. What the reader should know to understand this chapter Basic notions of calculus and linear algebra. Basic notions of machine learning. Programming skills to implement some computer projects proposed in the Problems section.","author":[{"dropping-particle":"","family":"Camastra","given":"Francesco","non-dropping-particle":"","parse-names":false,"suffix":""},{"dropping-particle":"","family":"Vinciarelli","given":"Alessandro","non-dropping-particle":"","parse-names":false,"suffix":""}],"container-title":"Advanced Information and Knowledge Processing","id":"ITEM-1","issue":"9781447167341","issued":{"date-parts":[["2015"]]},"page":"131-167","title":"Clustering methods","type":"article-journal"},"uris":["http://www.mendeley.com/documents/?uuid=daad949a-5f1f-4be7-8556-0d5c967dc964"]}],"mendeley":{"formattedCitation":"(56)","manualFormatting":"56","plainTextFormattedCitation":"(56)","previouslyFormattedCitation":"(56)"},"properties":{"noteIndex":0},"schema":"https://github.com/citation-style-language/schema/raw/master/csl-citation.json"}</w:instrText>
      </w:r>
      <w:r w:rsidR="00BA29F0" w:rsidRPr="007C0ACA">
        <w:rPr>
          <w:vertAlign w:val="superscript"/>
        </w:rPr>
        <w:fldChar w:fldCharType="separate"/>
      </w:r>
      <w:r w:rsidR="00BA29F0" w:rsidRPr="007C0ACA">
        <w:rPr>
          <w:noProof/>
          <w:vertAlign w:val="superscript"/>
        </w:rPr>
        <w:t>56</w:t>
      </w:r>
      <w:r w:rsidR="00BA29F0" w:rsidRPr="007C0ACA">
        <w:rPr>
          <w:vertAlign w:val="superscript"/>
        </w:rPr>
        <w:fldChar w:fldCharType="end"/>
      </w:r>
      <w:r w:rsidR="00BA29F0" w:rsidRPr="007C0ACA">
        <w:t xml:space="preserve"> as implemented in the </w:t>
      </w:r>
      <w:r w:rsidR="00DE1BE8" w:rsidRPr="007C0ACA">
        <w:rPr>
          <w:i/>
        </w:rPr>
        <w:t>cpptraj</w:t>
      </w:r>
      <w:r w:rsidR="00DE1BE8" w:rsidRPr="007C0ACA">
        <w:t xml:space="preserve"> module of AMBER</w:t>
      </w:r>
      <w:r w:rsidR="003A26AD" w:rsidRPr="007C0ACA">
        <w:t>16</w:t>
      </w:r>
      <w:r w:rsidR="00DE1BE8" w:rsidRPr="007C0ACA">
        <w:t xml:space="preserve">. </w:t>
      </w:r>
      <w:r w:rsidRPr="007C0ACA">
        <w:t>For t</w:t>
      </w:r>
      <w:r w:rsidR="00DE1BE8" w:rsidRPr="007C0ACA">
        <w:t xml:space="preserve">his </w:t>
      </w:r>
      <w:r w:rsidR="00A26E28" w:rsidRPr="007C0ACA">
        <w:t>process,</w:t>
      </w:r>
      <w:r w:rsidR="00DE1BE8" w:rsidRPr="007C0ACA">
        <w:t xml:space="preserve"> </w:t>
      </w:r>
      <w:r w:rsidR="00187A2E" w:rsidRPr="007C0ACA">
        <w:t xml:space="preserve">the </w:t>
      </w:r>
      <w:r w:rsidR="00A26E28" w:rsidRPr="007C0ACA">
        <w:t>RMSD</w:t>
      </w:r>
      <w:r w:rsidR="00187A2E" w:rsidRPr="007C0ACA">
        <w:t xml:space="preserve"> </w:t>
      </w:r>
      <w:r w:rsidR="00A26E28" w:rsidRPr="007C0ACA">
        <w:t xml:space="preserve">of the Cα in helices </w:t>
      </w:r>
      <w:r w:rsidR="00187A2E" w:rsidRPr="007C0ACA">
        <w:rPr>
          <w:rFonts w:cstheme="minorHAnsi"/>
        </w:rPr>
        <w:t>α</w:t>
      </w:r>
      <w:r w:rsidR="00187A2E" w:rsidRPr="007C0ACA">
        <w:t xml:space="preserve">3 and </w:t>
      </w:r>
      <w:r w:rsidR="00187A2E" w:rsidRPr="007C0ACA">
        <w:rPr>
          <w:rFonts w:cstheme="minorHAnsi"/>
        </w:rPr>
        <w:t>α4</w:t>
      </w:r>
      <w:r w:rsidR="00187A2E" w:rsidRPr="007C0ACA">
        <w:t xml:space="preserve"> </w:t>
      </w:r>
      <w:r w:rsidR="00A26E28" w:rsidRPr="007C0ACA">
        <w:t xml:space="preserve">was used as distance. The rational of using </w:t>
      </w:r>
      <w:r w:rsidR="001C3865" w:rsidRPr="007C0ACA">
        <w:t xml:space="preserve">only </w:t>
      </w:r>
      <w:r w:rsidR="00A26E28" w:rsidRPr="007C0ACA">
        <w:t>these two helices was their involvement</w:t>
      </w:r>
      <w:r w:rsidR="00187A2E" w:rsidRPr="007C0ACA">
        <w:t xml:space="preserve"> in the </w:t>
      </w:r>
      <w:r w:rsidR="00A26E28" w:rsidRPr="007C0ACA">
        <w:t xml:space="preserve">direct </w:t>
      </w:r>
      <w:r w:rsidR="00187A2E" w:rsidRPr="007C0ACA">
        <w:t>interaction be</w:t>
      </w:r>
      <w:r w:rsidR="00A26E28" w:rsidRPr="007C0ACA">
        <w:t>tween Bak and the BH3 peptides.</w:t>
      </w:r>
    </w:p>
    <w:p w14:paraId="11E1C333" w14:textId="77777777" w:rsidR="00355E66" w:rsidRPr="007C0ACA" w:rsidRDefault="00355E66"/>
    <w:p w14:paraId="1D0A3F57" w14:textId="62FFE0BD" w:rsidR="00DE1BE8" w:rsidRPr="007C0ACA" w:rsidRDefault="001C3ADD" w:rsidP="001C3ADD">
      <w:pPr>
        <w:spacing w:line="276" w:lineRule="auto"/>
        <w:rPr>
          <w:b/>
          <w:sz w:val="28"/>
        </w:rPr>
      </w:pPr>
      <w:r w:rsidRPr="007C0ACA">
        <w:rPr>
          <w:b/>
          <w:sz w:val="28"/>
        </w:rPr>
        <w:t>Results</w:t>
      </w:r>
      <w:r w:rsidR="002F50E4" w:rsidRPr="007C0ACA">
        <w:rPr>
          <w:b/>
          <w:sz w:val="28"/>
        </w:rPr>
        <w:t xml:space="preserve"> and Discussion</w:t>
      </w:r>
    </w:p>
    <w:p w14:paraId="0D5D9E30" w14:textId="3F517C99" w:rsidR="00B22BF1" w:rsidRPr="007C0ACA" w:rsidRDefault="00721A52" w:rsidP="00B22BF1">
      <w:pPr>
        <w:spacing w:line="276" w:lineRule="auto"/>
        <w:ind w:firstLine="567"/>
        <w:jc w:val="both"/>
        <w:rPr>
          <w:b/>
          <w:sz w:val="28"/>
        </w:rPr>
      </w:pPr>
      <w:r w:rsidRPr="007C0ACA">
        <w:t xml:space="preserve">In order </w:t>
      </w:r>
      <w:r w:rsidR="000136D0">
        <w:t>to identify</w:t>
      </w:r>
      <w:r w:rsidR="000136D0" w:rsidRPr="000136D0">
        <w:t xml:space="preserve"> </w:t>
      </w:r>
      <w:r w:rsidRPr="007C0ACA">
        <w:t xml:space="preserve">the molecular </w:t>
      </w:r>
      <w:r w:rsidR="004E2774" w:rsidRPr="007C0ACA">
        <w:t>features</w:t>
      </w:r>
      <w:r w:rsidRPr="007C0ACA">
        <w:t xml:space="preserve"> </w:t>
      </w:r>
      <w:r w:rsidR="004E2774" w:rsidRPr="007C0ACA">
        <w:t xml:space="preserve">that </w:t>
      </w:r>
      <w:r w:rsidR="004E2774" w:rsidRPr="000136D0">
        <w:t xml:space="preserve">characterise </w:t>
      </w:r>
      <w:r w:rsidRPr="007C0ACA">
        <w:t xml:space="preserve">binding and activation of BAK, we performed and </w:t>
      </w:r>
      <w:r w:rsidR="009A5B10" w:rsidRPr="007C0ACA">
        <w:t xml:space="preserve">subsequently </w:t>
      </w:r>
      <w:r w:rsidRPr="007C0ACA">
        <w:t xml:space="preserve">analysed diverse molecular dynamics simulations of different BH3 peptides bound to the protein. </w:t>
      </w:r>
      <w:r w:rsidR="000D5AA0" w:rsidRPr="007C0ACA">
        <w:t xml:space="preserve">Before </w:t>
      </w:r>
      <w:r w:rsidR="00320CDE" w:rsidRPr="007C0ACA">
        <w:t>discussing</w:t>
      </w:r>
      <w:r w:rsidR="000D5AA0" w:rsidRPr="007C0ACA">
        <w:t xml:space="preserve"> the</w:t>
      </w:r>
      <w:r w:rsidR="00BB671F" w:rsidRPr="007C0ACA">
        <w:t>se</w:t>
      </w:r>
      <w:r w:rsidR="000D5AA0" w:rsidRPr="007C0ACA">
        <w:t xml:space="preserve"> results</w:t>
      </w:r>
      <w:r w:rsidR="00320CDE" w:rsidRPr="007C0ACA">
        <w:t>,</w:t>
      </w:r>
      <w:r w:rsidR="000D5AA0" w:rsidRPr="007C0ACA">
        <w:t xml:space="preserve"> </w:t>
      </w:r>
      <w:r w:rsidR="00320CDE" w:rsidRPr="007C0ACA">
        <w:t>it</w:t>
      </w:r>
      <w:r w:rsidR="000D5AA0" w:rsidRPr="007C0ACA">
        <w:t xml:space="preserve"> is necessary</w:t>
      </w:r>
      <w:r w:rsidR="00320CDE" w:rsidRPr="007C0ACA">
        <w:t xml:space="preserve"> to make a </w:t>
      </w:r>
      <w:r w:rsidR="004E2774" w:rsidRPr="007C0ACA">
        <w:t>clarification</w:t>
      </w:r>
      <w:r w:rsidR="00320CDE" w:rsidRPr="007C0ACA">
        <w:t xml:space="preserve"> on the starting structure of the BAK/BIM </w:t>
      </w:r>
      <w:r w:rsidR="008C2661">
        <w:rPr>
          <w:i/>
        </w:rPr>
        <w:t>active</w:t>
      </w:r>
      <w:r w:rsidR="00320CDE" w:rsidRPr="007C0ACA">
        <w:t xml:space="preserve"> complex used in the present calculations</w:t>
      </w:r>
      <w:r w:rsidR="000D5AA0" w:rsidRPr="007C0ACA">
        <w:t xml:space="preserve">. </w:t>
      </w:r>
      <w:r w:rsidR="004E2774" w:rsidRPr="007C0ACA">
        <w:t>T</w:t>
      </w:r>
      <w:r w:rsidR="000D5AA0" w:rsidRPr="007C0ACA">
        <w:t xml:space="preserve">he structure </w:t>
      </w:r>
      <w:r w:rsidR="00F049FC" w:rsidRPr="007C0ACA">
        <w:t xml:space="preserve">used </w:t>
      </w:r>
      <w:r w:rsidR="004E2774" w:rsidRPr="007C0ACA">
        <w:t xml:space="preserve">in the present work </w:t>
      </w:r>
      <w:r w:rsidR="00F049FC" w:rsidRPr="007C0ACA">
        <w:t xml:space="preserve">was </w:t>
      </w:r>
      <w:r w:rsidR="00320CDE" w:rsidRPr="007C0ACA">
        <w:t xml:space="preserve">retrieved from the Protein Data Bank </w:t>
      </w:r>
      <w:r w:rsidR="00B22BF1" w:rsidRPr="007C0ACA">
        <w:t>(</w:t>
      </w:r>
      <w:r w:rsidR="00320CDE" w:rsidRPr="007C0ACA">
        <w:t xml:space="preserve">entry </w:t>
      </w:r>
      <w:r w:rsidR="00B22BF1" w:rsidRPr="007C0ACA">
        <w:t>5VWV)</w:t>
      </w:r>
      <w:r w:rsidR="009A5B10" w:rsidRPr="007C0ACA">
        <w:t>,</w:t>
      </w:r>
      <w:r w:rsidR="00B22BF1" w:rsidRPr="007C0ACA">
        <w:t xml:space="preserve"> </w:t>
      </w:r>
      <w:r w:rsidR="00F049FC" w:rsidRPr="007C0ACA">
        <w:t xml:space="preserve">as mentioned in the methods section. </w:t>
      </w:r>
      <w:r w:rsidR="004E2774" w:rsidRPr="007C0ACA">
        <w:t>Interestingly, the</w:t>
      </w:r>
      <w:r w:rsidR="00F049FC" w:rsidRPr="007C0ACA">
        <w:t xml:space="preserve"> structure</w:t>
      </w:r>
      <w:r w:rsidR="00320CDE" w:rsidRPr="007C0ACA">
        <w:t xml:space="preserve"> includes</w:t>
      </w:r>
      <w:r w:rsidR="00645E55" w:rsidRPr="007C0ACA">
        <w:t xml:space="preserve"> a molecule of TFA and a molecule of glycerol </w:t>
      </w:r>
      <w:r w:rsidR="00B22BF1" w:rsidRPr="007C0ACA">
        <w:t xml:space="preserve">within </w:t>
      </w:r>
      <w:r w:rsidR="00320CDE" w:rsidRPr="007C0ACA">
        <w:t>its</w:t>
      </w:r>
      <w:r w:rsidR="00B22BF1" w:rsidRPr="007C0ACA">
        <w:t xml:space="preserve"> density at the bottom of the gr</w:t>
      </w:r>
      <w:r w:rsidR="00645E55" w:rsidRPr="007C0ACA">
        <w:t>oove</w:t>
      </w:r>
      <w:r w:rsidR="004E2774" w:rsidRPr="007C0ACA">
        <w:t>,</w:t>
      </w:r>
      <w:r w:rsidR="00645E55" w:rsidRPr="007C0ACA">
        <w:t xml:space="preserve"> stabili</w:t>
      </w:r>
      <w:r w:rsidR="004E2774" w:rsidRPr="007C0ACA">
        <w:t>sing</w:t>
      </w:r>
      <w:r w:rsidR="00645E55" w:rsidRPr="007C0ACA">
        <w:t xml:space="preserve"> the protein</w:t>
      </w:r>
      <w:r w:rsidR="000D5AA0" w:rsidRPr="007C0ACA">
        <w:t>.</w:t>
      </w:r>
      <w:r w:rsidR="00B22BF1" w:rsidRPr="007C0ACA">
        <w:t xml:space="preserve"> </w:t>
      </w:r>
      <w:r w:rsidR="000D5AA0" w:rsidRPr="007C0ACA">
        <w:t xml:space="preserve">Accordingly, </w:t>
      </w:r>
      <w:r w:rsidR="00645E55" w:rsidRPr="007C0ACA">
        <w:t xml:space="preserve">it could be </w:t>
      </w:r>
      <w:r w:rsidR="00F049FC" w:rsidRPr="007C0ACA">
        <w:t>thought</w:t>
      </w:r>
      <w:r w:rsidR="00645E55" w:rsidRPr="007C0ACA">
        <w:t xml:space="preserve"> that</w:t>
      </w:r>
      <w:r w:rsidR="00B22BF1" w:rsidRPr="007C0ACA">
        <w:t xml:space="preserve"> the active conformation </w:t>
      </w:r>
      <w:r w:rsidR="00F049FC" w:rsidRPr="007C0ACA">
        <w:t>is</w:t>
      </w:r>
      <w:r w:rsidR="00B22BF1" w:rsidRPr="007C0ACA">
        <w:t xml:space="preserve"> </w:t>
      </w:r>
      <w:r w:rsidR="000D5AA0" w:rsidRPr="007C0ACA">
        <w:t xml:space="preserve">only stable </w:t>
      </w:r>
      <w:r w:rsidR="00B22BF1" w:rsidRPr="007C0ACA">
        <w:t>under these conditions</w:t>
      </w:r>
      <w:r w:rsidR="00320CDE" w:rsidRPr="007C0ACA">
        <w:t>,</w:t>
      </w:r>
      <w:r w:rsidR="00B22BF1" w:rsidRPr="007C0ACA">
        <w:t xml:space="preserve"> as none of these molecules are naturally occurring in cells. </w:t>
      </w:r>
      <w:r w:rsidR="004E2774" w:rsidRPr="007C0ACA">
        <w:t xml:space="preserve">In order to </w:t>
      </w:r>
      <w:r w:rsidR="00D2564A" w:rsidRPr="007C0ACA">
        <w:t>argue against this possibility</w:t>
      </w:r>
      <w:r w:rsidR="004E2774" w:rsidRPr="007C0ACA">
        <w:t xml:space="preserve">, we carefully monitored </w:t>
      </w:r>
      <w:r w:rsidR="00F049FC" w:rsidRPr="007C0ACA">
        <w:t xml:space="preserve">the </w:t>
      </w:r>
      <w:r w:rsidR="000D5AA0" w:rsidRPr="007C0ACA">
        <w:t xml:space="preserve">three </w:t>
      </w:r>
      <w:r w:rsidR="00645E55" w:rsidRPr="007C0ACA">
        <w:t xml:space="preserve">long </w:t>
      </w:r>
      <w:r w:rsidR="000D5AA0" w:rsidRPr="007C0ACA">
        <w:t>MD trajectories</w:t>
      </w:r>
      <w:r w:rsidR="00645E55" w:rsidRPr="007C0ACA">
        <w:t xml:space="preserve"> performed</w:t>
      </w:r>
      <w:r w:rsidR="004E2774" w:rsidRPr="007C0ACA">
        <w:t xml:space="preserve"> on the complex, concluding that </w:t>
      </w:r>
      <w:r w:rsidR="00D2564A" w:rsidRPr="007C0ACA">
        <w:t>it</w:t>
      </w:r>
      <w:r w:rsidR="004E2774" w:rsidRPr="007C0ACA">
        <w:t xml:space="preserve"> is stable without any of these two molecules</w:t>
      </w:r>
      <w:r w:rsidR="00D2564A" w:rsidRPr="007C0ACA">
        <w:t xml:space="preserve"> in the time sampled</w:t>
      </w:r>
      <w:r w:rsidR="004E2774" w:rsidRPr="007C0ACA">
        <w:t>.</w:t>
      </w:r>
    </w:p>
    <w:p w14:paraId="5509963A" w14:textId="77777777" w:rsidR="005E19F2" w:rsidRPr="007C0ACA" w:rsidRDefault="005E19F2" w:rsidP="00DE1BE8">
      <w:pPr>
        <w:pStyle w:val="Ttol3"/>
        <w:spacing w:line="276" w:lineRule="auto"/>
      </w:pPr>
      <w:bookmarkStart w:id="9" w:name="_Toc518637943"/>
    </w:p>
    <w:p w14:paraId="263C5DD3" w14:textId="07CCC0B5" w:rsidR="00DE1BE8" w:rsidRPr="007C0ACA" w:rsidRDefault="00DE1BE8" w:rsidP="004A1F8B">
      <w:pPr>
        <w:pStyle w:val="Ttol3"/>
        <w:spacing w:after="120" w:line="276" w:lineRule="auto"/>
      </w:pPr>
      <w:r w:rsidRPr="007C0ACA">
        <w:t>Root-Mean Square Deviation and Root-Mean Square Fluctuation</w:t>
      </w:r>
      <w:bookmarkEnd w:id="9"/>
    </w:p>
    <w:p w14:paraId="74E83AD2" w14:textId="0B4998E4" w:rsidR="00DE1BE8" w:rsidRPr="007C0ACA" w:rsidRDefault="00731039" w:rsidP="00C55071">
      <w:pPr>
        <w:spacing w:line="276" w:lineRule="auto"/>
        <w:ind w:firstLine="720"/>
        <w:jc w:val="both"/>
      </w:pPr>
      <w:r w:rsidRPr="007C0ACA">
        <w:t xml:space="preserve">The </w:t>
      </w:r>
      <w:r w:rsidR="00DE1BE8" w:rsidRPr="007C0ACA">
        <w:t xml:space="preserve">RMSD </w:t>
      </w:r>
      <w:r w:rsidRPr="007C0ACA">
        <w:t xml:space="preserve">was computed </w:t>
      </w:r>
      <w:r w:rsidR="000E5FAF" w:rsidRPr="007C0ACA">
        <w:t xml:space="preserve">along the trajectories </w:t>
      </w:r>
      <w:r w:rsidR="00DE1BE8" w:rsidRPr="007C0ACA">
        <w:t xml:space="preserve">to establish if the </w:t>
      </w:r>
      <w:r w:rsidRPr="007C0ACA">
        <w:t>diverse</w:t>
      </w:r>
      <w:r w:rsidR="00DE1BE8" w:rsidRPr="007C0ACA">
        <w:t xml:space="preserve"> MD simulations </w:t>
      </w:r>
      <w:r w:rsidR="000E5FAF" w:rsidRPr="007C0ACA">
        <w:t>performed were</w:t>
      </w:r>
      <w:r w:rsidR="00DE1BE8" w:rsidRPr="007C0ACA">
        <w:t xml:space="preserve"> converge</w:t>
      </w:r>
      <w:r w:rsidR="000E5FAF" w:rsidRPr="007C0ACA">
        <w:t>d</w:t>
      </w:r>
      <w:r w:rsidR="00DE1BE8" w:rsidRPr="007C0ACA">
        <w:t xml:space="preserve"> and stable in structural terms. Residues </w:t>
      </w:r>
      <w:r w:rsidRPr="007C0ACA">
        <w:t>used for the superimpositions</w:t>
      </w:r>
      <w:r w:rsidR="00DE1BE8" w:rsidRPr="007C0ACA">
        <w:t xml:space="preserve"> </w:t>
      </w:r>
      <w:r w:rsidRPr="007C0ACA">
        <w:t>include</w:t>
      </w:r>
      <w:r w:rsidR="000E5FAF" w:rsidRPr="007C0ACA">
        <w:t>d</w:t>
      </w:r>
      <w:r w:rsidRPr="007C0ACA">
        <w:t xml:space="preserve"> those</w:t>
      </w:r>
      <w:r w:rsidR="00DE1BE8" w:rsidRPr="007C0ACA">
        <w:t xml:space="preserve"> from helices </w:t>
      </w:r>
      <w:r w:rsidR="00DE1BE8" w:rsidRPr="007C0ACA">
        <w:rPr>
          <w:rFonts w:cstheme="minorHAnsi"/>
        </w:rPr>
        <w:t>α</w:t>
      </w:r>
      <w:r w:rsidR="00DE1BE8" w:rsidRPr="007C0ACA">
        <w:t xml:space="preserve">3, </w:t>
      </w:r>
      <w:r w:rsidR="00DE1BE8" w:rsidRPr="007C0ACA">
        <w:rPr>
          <w:rFonts w:cstheme="minorHAnsi"/>
        </w:rPr>
        <w:t>α</w:t>
      </w:r>
      <w:r w:rsidR="00DE1BE8" w:rsidRPr="007C0ACA">
        <w:t xml:space="preserve">4 and </w:t>
      </w:r>
      <w:r w:rsidR="00DE1BE8" w:rsidRPr="007C0ACA">
        <w:rPr>
          <w:rFonts w:cstheme="minorHAnsi"/>
        </w:rPr>
        <w:t>α</w:t>
      </w:r>
      <w:r w:rsidR="00DE1BE8" w:rsidRPr="007C0ACA">
        <w:t xml:space="preserve">5 involved in the binding of BH3-only peptides and those from </w:t>
      </w:r>
      <w:r w:rsidR="00DE1BE8" w:rsidRPr="007C0ACA">
        <w:rPr>
          <w:rFonts w:cstheme="minorHAnsi"/>
        </w:rPr>
        <w:t>α</w:t>
      </w:r>
      <w:r w:rsidR="00DE1BE8" w:rsidRPr="007C0ACA">
        <w:t xml:space="preserve">1 and </w:t>
      </w:r>
      <w:r w:rsidR="00DE1BE8" w:rsidRPr="007C0ACA">
        <w:rPr>
          <w:rFonts w:cstheme="minorHAnsi"/>
        </w:rPr>
        <w:t>α</w:t>
      </w:r>
      <w:r w:rsidR="00DE1BE8" w:rsidRPr="007C0ACA">
        <w:t xml:space="preserve">6, which are relevant in the conformational changes that Bak experiences when it is activated. In the </w:t>
      </w:r>
      <w:r w:rsidR="00DE1BE8" w:rsidRPr="007C0ACA">
        <w:rPr>
          <w:i/>
        </w:rPr>
        <w:t>active</w:t>
      </w:r>
      <w:r w:rsidR="00DE1BE8" w:rsidRPr="007C0ACA">
        <w:t xml:space="preserve"> conformations, α6 </w:t>
      </w:r>
      <w:r w:rsidR="0031742F" w:rsidRPr="007C0ACA">
        <w:t>was</w:t>
      </w:r>
      <w:r w:rsidR="00DE1BE8" w:rsidRPr="007C0ACA">
        <w:t xml:space="preserve"> not </w:t>
      </w:r>
      <w:r w:rsidR="00290983" w:rsidRPr="007C0ACA">
        <w:t>included</w:t>
      </w:r>
      <w:r w:rsidR="00DE1BE8" w:rsidRPr="007C0ACA">
        <w:t xml:space="preserve"> </w:t>
      </w:r>
      <w:r w:rsidR="0031742F" w:rsidRPr="007C0ACA">
        <w:t>since</w:t>
      </w:r>
      <w:r w:rsidR="00DE1BE8" w:rsidRPr="007C0ACA">
        <w:t xml:space="preserve"> it experiences an increase </w:t>
      </w:r>
      <w:r w:rsidR="00BC1517" w:rsidRPr="007C0ACA">
        <w:t xml:space="preserve">in its </w:t>
      </w:r>
      <w:r w:rsidR="000E5FAF" w:rsidRPr="007C0ACA">
        <w:t>flexibility</w:t>
      </w:r>
      <w:r w:rsidR="00DE1BE8" w:rsidRPr="007C0ACA">
        <w:t xml:space="preserve"> due to its </w:t>
      </w:r>
      <w:r w:rsidRPr="007C0ACA">
        <w:t>exposure</w:t>
      </w:r>
      <w:r w:rsidR="00DE1BE8" w:rsidRPr="007C0ACA">
        <w:t xml:space="preserve">. </w:t>
      </w:r>
    </w:p>
    <w:p w14:paraId="0C257BF5" w14:textId="4BCC5402" w:rsidR="00DE1BE8" w:rsidRPr="007C0ACA" w:rsidRDefault="00DE1BE8" w:rsidP="00C55071">
      <w:pPr>
        <w:spacing w:line="276" w:lineRule="auto"/>
        <w:ind w:firstLine="720"/>
        <w:jc w:val="both"/>
      </w:pPr>
      <w:r w:rsidRPr="007C0ACA">
        <w:t xml:space="preserve">As it can be seen in Figure 2, </w:t>
      </w:r>
      <w:r w:rsidR="0031742F" w:rsidRPr="007C0ACA">
        <w:t xml:space="preserve">the </w:t>
      </w:r>
      <w:r w:rsidRPr="007C0ACA">
        <w:t xml:space="preserve">RMSD </w:t>
      </w:r>
      <w:r w:rsidR="0031742F" w:rsidRPr="007C0ACA">
        <w:t xml:space="preserve">of the diverse Bak/BH3 peptide </w:t>
      </w:r>
      <w:r w:rsidRPr="007C0ACA">
        <w:t xml:space="preserve">complexes increase </w:t>
      </w:r>
      <w:r w:rsidR="00003701" w:rsidRPr="007C0ACA">
        <w:t>at the beginning of the trajectory</w:t>
      </w:r>
      <w:r w:rsidR="00290983" w:rsidRPr="007C0ACA">
        <w:t>,</w:t>
      </w:r>
      <w:r w:rsidRPr="007C0ACA">
        <w:t xml:space="preserve"> </w:t>
      </w:r>
      <w:r w:rsidR="00003701" w:rsidRPr="007C0ACA">
        <w:t>but after</w:t>
      </w:r>
      <w:r w:rsidRPr="007C0ACA">
        <w:t xml:space="preserve"> 50ns all systems </w:t>
      </w:r>
      <w:r w:rsidR="00003701" w:rsidRPr="007C0ACA">
        <w:t>are</w:t>
      </w:r>
      <w:r w:rsidRPr="007C0ACA">
        <w:t xml:space="preserve"> structurally stabilized. </w:t>
      </w:r>
      <w:r w:rsidR="004C0AD5" w:rsidRPr="007C0ACA">
        <w:t>The</w:t>
      </w:r>
      <w:r w:rsidRPr="007C0ACA">
        <w:t xml:space="preserve"> </w:t>
      </w:r>
      <w:r w:rsidRPr="007C0ACA">
        <w:rPr>
          <w:i/>
        </w:rPr>
        <w:t>active</w:t>
      </w:r>
      <w:r w:rsidR="004C0AD5" w:rsidRPr="007C0ACA">
        <w:t xml:space="preserve"> conformations</w:t>
      </w:r>
      <w:r w:rsidRPr="007C0ACA">
        <w:t xml:space="preserve"> </w:t>
      </w:r>
      <w:r w:rsidR="00996A87" w:rsidRPr="007C0ACA">
        <w:t>exhibit a higher RMSD</w:t>
      </w:r>
      <w:r w:rsidRPr="007C0ACA">
        <w:t xml:space="preserve"> </w:t>
      </w:r>
      <w:r w:rsidR="00996A87" w:rsidRPr="007C0ACA">
        <w:t>since</w:t>
      </w:r>
      <w:r w:rsidRPr="007C0ACA">
        <w:t xml:space="preserve"> the </w:t>
      </w:r>
      <w:r w:rsidRPr="007C0ACA">
        <w:rPr>
          <w:i/>
        </w:rPr>
        <w:t>latch</w:t>
      </w:r>
      <w:r w:rsidRPr="007C0ACA">
        <w:t xml:space="preserve"> domain is not interacting with the </w:t>
      </w:r>
      <w:r w:rsidRPr="007C0ACA">
        <w:rPr>
          <w:i/>
        </w:rPr>
        <w:t>core</w:t>
      </w:r>
      <w:r w:rsidR="00996A87" w:rsidRPr="007C0ACA">
        <w:t xml:space="preserve"> domain</w:t>
      </w:r>
      <w:r w:rsidRPr="007C0ACA">
        <w:t xml:space="preserve"> and the globular structure </w:t>
      </w:r>
      <w:r w:rsidR="004C0AD5" w:rsidRPr="007C0ACA">
        <w:t>rearranges</w:t>
      </w:r>
      <w:r w:rsidRPr="007C0ACA">
        <w:t xml:space="preserve"> to fill the space left by </w:t>
      </w:r>
      <w:r w:rsidR="00996A87" w:rsidRPr="007C0ACA">
        <w:t>the former</w:t>
      </w:r>
      <w:r w:rsidRPr="007C0ACA">
        <w:t xml:space="preserve">. RMSD </w:t>
      </w:r>
      <w:r w:rsidR="00003701" w:rsidRPr="007C0ACA">
        <w:t>for the</w:t>
      </w:r>
      <w:r w:rsidRPr="007C0ACA">
        <w:t xml:space="preserve"> Bak/Bid complex is slightly higher than</w:t>
      </w:r>
      <w:r w:rsidR="002B7ED1" w:rsidRPr="007C0ACA">
        <w:t xml:space="preserve"> that </w:t>
      </w:r>
      <w:r w:rsidR="006963BE" w:rsidRPr="007C0ACA">
        <w:t>for</w:t>
      </w:r>
      <w:r w:rsidRPr="007C0ACA">
        <w:t xml:space="preserve"> the other globular conformations. However, these differences are not as significant as </w:t>
      </w:r>
      <w:r w:rsidR="00003701" w:rsidRPr="007C0ACA">
        <w:t>those</w:t>
      </w:r>
      <w:r w:rsidRPr="007C0ACA">
        <w:t xml:space="preserve"> observed between </w:t>
      </w:r>
      <w:r w:rsidRPr="007C0ACA">
        <w:rPr>
          <w:i/>
        </w:rPr>
        <w:t>active</w:t>
      </w:r>
      <w:r w:rsidRPr="007C0ACA">
        <w:t xml:space="preserve"> and </w:t>
      </w:r>
      <w:r w:rsidRPr="007C0ACA">
        <w:rPr>
          <w:i/>
        </w:rPr>
        <w:t>inactive</w:t>
      </w:r>
      <w:r w:rsidRPr="007C0ACA">
        <w:t xml:space="preserve"> conformations.</w:t>
      </w:r>
    </w:p>
    <w:p w14:paraId="15112E9D" w14:textId="23F44EBB" w:rsidR="00DE1BE8" w:rsidRPr="007C0ACA" w:rsidRDefault="006C4F73" w:rsidP="00C55071">
      <w:pPr>
        <w:spacing w:line="276" w:lineRule="auto"/>
        <w:ind w:firstLine="720"/>
        <w:jc w:val="both"/>
      </w:pPr>
      <w:r w:rsidRPr="007C0ACA">
        <w:t>An a</w:t>
      </w:r>
      <w:r w:rsidR="00003701" w:rsidRPr="007C0ACA">
        <w:t>nalysis of</w:t>
      </w:r>
      <w:r w:rsidR="00DE1BE8" w:rsidRPr="007C0ACA">
        <w:t xml:space="preserve"> the root-mean-square fluctuation (RMSF) </w:t>
      </w:r>
      <w:r w:rsidR="00003701" w:rsidRPr="007C0ACA">
        <w:t>per residue</w:t>
      </w:r>
      <w:r w:rsidR="00DE1BE8" w:rsidRPr="007C0ACA">
        <w:t xml:space="preserve"> for </w:t>
      </w:r>
      <w:r w:rsidR="00003701" w:rsidRPr="007C0ACA">
        <w:t>the diverse</w:t>
      </w:r>
      <w:r w:rsidR="00DE1BE8" w:rsidRPr="007C0ACA">
        <w:t xml:space="preserve"> complexes</w:t>
      </w:r>
      <w:r w:rsidR="00003701" w:rsidRPr="007C0ACA">
        <w:t xml:space="preserve"> (</w:t>
      </w:r>
      <w:r w:rsidR="00DE1BE8" w:rsidRPr="007C0ACA">
        <w:t>Figure 3</w:t>
      </w:r>
      <w:r w:rsidR="00003701" w:rsidRPr="007C0ACA">
        <w:t>)</w:t>
      </w:r>
      <w:r w:rsidR="00DE1BE8" w:rsidRPr="007C0ACA">
        <w:t xml:space="preserve">, </w:t>
      </w:r>
      <w:r w:rsidR="00776908" w:rsidRPr="007C0ACA">
        <w:t xml:space="preserve">allows </w:t>
      </w:r>
      <w:r w:rsidR="00971B49" w:rsidRPr="007C0ACA">
        <w:t>concluding</w:t>
      </w:r>
      <w:r w:rsidR="00DE1BE8" w:rsidRPr="007C0ACA">
        <w:t xml:space="preserve"> that all four globular complexes </w:t>
      </w:r>
      <w:r w:rsidR="00003701" w:rsidRPr="007C0ACA">
        <w:t>exhibit</w:t>
      </w:r>
      <w:r w:rsidR="00DE1BE8" w:rsidRPr="007C0ACA">
        <w:t xml:space="preserve"> similar RMSF distributions, showing a rigid behaviour in almost all the structure</w:t>
      </w:r>
      <w:r w:rsidR="004C0AD5" w:rsidRPr="007C0ACA">
        <w:t>s</w:t>
      </w:r>
      <w:r w:rsidR="00DE1BE8" w:rsidRPr="007C0ACA">
        <w:t xml:space="preserve">, </w:t>
      </w:r>
      <w:r w:rsidR="00003701" w:rsidRPr="007C0ACA">
        <w:t>with</w:t>
      </w:r>
      <w:r w:rsidR="00DE1BE8" w:rsidRPr="007C0ACA">
        <w:t xml:space="preserve"> the α1 – α2 loop</w:t>
      </w:r>
      <w:r w:rsidR="00003701" w:rsidRPr="007C0ACA">
        <w:t xml:space="preserve"> showing the largest fluctuations</w:t>
      </w:r>
      <w:r w:rsidR="00DE1BE8" w:rsidRPr="007C0ACA">
        <w:t xml:space="preserve">. </w:t>
      </w:r>
      <w:r w:rsidR="007E6E9F" w:rsidRPr="007C0ACA">
        <w:t>Moreover</w:t>
      </w:r>
      <w:r w:rsidR="00DE1BE8" w:rsidRPr="007C0ACA">
        <w:t xml:space="preserve">, the </w:t>
      </w:r>
      <w:r w:rsidR="00DE1BE8" w:rsidRPr="007C0ACA">
        <w:rPr>
          <w:i/>
        </w:rPr>
        <w:t>active</w:t>
      </w:r>
      <w:r w:rsidR="00DE1BE8" w:rsidRPr="007C0ACA">
        <w:t xml:space="preserve"> conformations</w:t>
      </w:r>
      <w:r w:rsidR="00003701" w:rsidRPr="007C0ACA">
        <w:t xml:space="preserve"> show higher fluctuation</w:t>
      </w:r>
      <w:r w:rsidR="004C0AD5" w:rsidRPr="007C0ACA">
        <w:t>s</w:t>
      </w:r>
      <w:r w:rsidR="00003701" w:rsidRPr="007C0ACA">
        <w:t>, due to</w:t>
      </w:r>
      <w:r w:rsidR="00DE1BE8" w:rsidRPr="007C0ACA">
        <w:t xml:space="preserve"> the movement of the </w:t>
      </w:r>
      <w:r w:rsidR="00DE1BE8" w:rsidRPr="007C0ACA">
        <w:rPr>
          <w:i/>
        </w:rPr>
        <w:t>core</w:t>
      </w:r>
      <w:r w:rsidR="004C0AD5" w:rsidRPr="007C0ACA">
        <w:t xml:space="preserve"> domain that samples</w:t>
      </w:r>
      <w:r w:rsidR="00DE1BE8" w:rsidRPr="007C0ACA">
        <w:t xml:space="preserve"> the space left from the </w:t>
      </w:r>
      <w:r w:rsidR="00DE1BE8" w:rsidRPr="007C0ACA">
        <w:rPr>
          <w:i/>
        </w:rPr>
        <w:t>latch</w:t>
      </w:r>
      <w:r w:rsidR="00DE1BE8" w:rsidRPr="007C0ACA">
        <w:t xml:space="preserve"> domain.</w:t>
      </w:r>
    </w:p>
    <w:p w14:paraId="4F35F0E3" w14:textId="77777777" w:rsidR="00DE1BE8" w:rsidRPr="007C0ACA" w:rsidRDefault="00DE1BE8" w:rsidP="001E512A">
      <w:pPr>
        <w:pStyle w:val="Ttol3"/>
        <w:spacing w:after="120" w:line="276" w:lineRule="auto"/>
      </w:pPr>
      <w:r w:rsidRPr="007C0ACA">
        <w:t>Principal Component Fluctuation</w:t>
      </w:r>
    </w:p>
    <w:p w14:paraId="104ECF50" w14:textId="77777777" w:rsidR="00937AA3" w:rsidRPr="007C0ACA" w:rsidRDefault="00605B0B" w:rsidP="00C55071">
      <w:pPr>
        <w:spacing w:line="276" w:lineRule="auto"/>
        <w:ind w:firstLine="720"/>
        <w:jc w:val="both"/>
      </w:pPr>
      <w:r w:rsidRPr="007C0ACA">
        <w:t>The a</w:t>
      </w:r>
      <w:r w:rsidR="00DE1BE8" w:rsidRPr="007C0ACA">
        <w:t xml:space="preserve">nalysis of RMSF failed to </w:t>
      </w:r>
      <w:r w:rsidR="00DF2CA6" w:rsidRPr="007C0ACA">
        <w:t>identify</w:t>
      </w:r>
      <w:r w:rsidR="00DE1BE8" w:rsidRPr="007C0ACA">
        <w:t xml:space="preserve"> </w:t>
      </w:r>
      <w:r w:rsidR="007E6E9F" w:rsidRPr="007C0ACA">
        <w:t xml:space="preserve">specific </w:t>
      </w:r>
      <w:r w:rsidR="003555A5" w:rsidRPr="007C0ACA">
        <w:t xml:space="preserve">structural </w:t>
      </w:r>
      <w:r w:rsidR="007E6E9F" w:rsidRPr="007C0ACA">
        <w:t>features that differentiate</w:t>
      </w:r>
      <w:r w:rsidR="00DE1BE8" w:rsidRPr="007C0ACA">
        <w:t xml:space="preserve"> activators and inhibitor</w:t>
      </w:r>
      <w:r w:rsidR="00B9575F" w:rsidRPr="007C0ACA">
        <w:t>s</w:t>
      </w:r>
      <w:r w:rsidR="00DE1BE8" w:rsidRPr="007C0ACA">
        <w:t>. Thus, we decided to perform PCA, a powerful method to reveal the pr</w:t>
      </w:r>
      <w:r w:rsidR="00937AA3" w:rsidRPr="007C0ACA">
        <w:t>incipal variations in structure to</w:t>
      </w:r>
      <w:r w:rsidR="00DE1BE8" w:rsidRPr="007C0ACA">
        <w:t xml:space="preserve"> study </w:t>
      </w:r>
      <w:r w:rsidR="00937AA3" w:rsidRPr="007C0ACA">
        <w:t xml:space="preserve">residue </w:t>
      </w:r>
      <w:r w:rsidR="00DE1BE8" w:rsidRPr="007C0ACA">
        <w:t>fluctuation</w:t>
      </w:r>
      <w:r w:rsidR="00B4645E" w:rsidRPr="007C0ACA">
        <w:t>s</w:t>
      </w:r>
      <w:r w:rsidR="00937AA3" w:rsidRPr="007C0ACA">
        <w:t xml:space="preserve"> </w:t>
      </w:r>
      <w:r w:rsidR="00F13EE2" w:rsidRPr="007C0ACA">
        <w:t>(PCF)</w:t>
      </w:r>
      <w:r w:rsidR="00DE1BE8" w:rsidRPr="007C0ACA">
        <w:t>. Figure</w:t>
      </w:r>
      <w:r w:rsidR="0050616E" w:rsidRPr="007C0ACA">
        <w:t>s</w:t>
      </w:r>
      <w:r w:rsidR="00DE1BE8" w:rsidRPr="007C0ACA">
        <w:t xml:space="preserve"> 4</w:t>
      </w:r>
      <w:r w:rsidR="0050616E" w:rsidRPr="007C0ACA">
        <w:t>A-D show</w:t>
      </w:r>
      <w:r w:rsidR="00DE1BE8" w:rsidRPr="007C0ACA">
        <w:t xml:space="preserve"> the</w:t>
      </w:r>
      <w:r w:rsidR="00DF2CA6" w:rsidRPr="007C0ACA">
        <w:t xml:space="preserve"> computed</w:t>
      </w:r>
      <w:r w:rsidR="00DE1BE8" w:rsidRPr="007C0ACA">
        <w:t xml:space="preserve"> square summation of </w:t>
      </w:r>
      <w:r w:rsidR="00DF2CA6" w:rsidRPr="007C0ACA">
        <w:t>the atomic</w:t>
      </w:r>
      <w:r w:rsidR="00DE1BE8" w:rsidRPr="007C0ACA">
        <w:t xml:space="preserve"> fluctuation</w:t>
      </w:r>
      <w:r w:rsidR="00DF2CA6" w:rsidRPr="007C0ACA">
        <w:t>s</w:t>
      </w:r>
      <w:r w:rsidR="00DE1BE8" w:rsidRPr="007C0ACA">
        <w:t xml:space="preserve"> </w:t>
      </w:r>
      <w:r w:rsidR="00DF2CA6" w:rsidRPr="007C0ACA">
        <w:t>for</w:t>
      </w:r>
      <w:r w:rsidR="00DE1BE8" w:rsidRPr="007C0ACA">
        <w:t xml:space="preserve"> helices α1, α2, α3 and α5</w:t>
      </w:r>
      <w:r w:rsidR="00A74A23" w:rsidRPr="007C0ACA">
        <w:t xml:space="preserve"> for the complexes Bim and Bim(h3Pc) with Bak </w:t>
      </w:r>
      <w:r w:rsidR="00937AA3" w:rsidRPr="007C0ACA">
        <w:lastRenderedPageBreak/>
        <w:t xml:space="preserve">bound </w:t>
      </w:r>
      <w:r w:rsidR="00A74A23" w:rsidRPr="007C0ACA">
        <w:t xml:space="preserve">in its </w:t>
      </w:r>
      <w:r w:rsidR="00A74A23" w:rsidRPr="007C0ACA">
        <w:rPr>
          <w:i/>
        </w:rPr>
        <w:t>inactive</w:t>
      </w:r>
      <w:r w:rsidR="00A74A23" w:rsidRPr="007C0ACA">
        <w:t xml:space="preserve"> conformation</w:t>
      </w:r>
      <w:r w:rsidR="00DE1BE8" w:rsidRPr="007C0ACA">
        <w:t xml:space="preserve">. </w:t>
      </w:r>
      <w:r w:rsidR="00A74A23" w:rsidRPr="007C0ACA">
        <w:t xml:space="preserve">As can be seen, the addition of more Principal Components does not improve the explanation of the fluctuations of the system. </w:t>
      </w:r>
    </w:p>
    <w:p w14:paraId="01DC2C30" w14:textId="348BCEA1" w:rsidR="00DE1BE8" w:rsidRPr="007C0ACA" w:rsidRDefault="00A74A23" w:rsidP="00C83249">
      <w:pPr>
        <w:spacing w:line="276" w:lineRule="auto"/>
        <w:ind w:firstLine="720"/>
        <w:jc w:val="both"/>
      </w:pPr>
      <w:r w:rsidRPr="007C0ACA">
        <w:t>Inspection of Figure</w:t>
      </w:r>
      <w:r w:rsidR="0050616E" w:rsidRPr="007C0ACA">
        <w:t>s</w:t>
      </w:r>
      <w:r w:rsidRPr="007C0ACA">
        <w:t xml:space="preserve"> 4</w:t>
      </w:r>
      <w:r w:rsidR="0050616E" w:rsidRPr="007C0ACA">
        <w:t>A-D</w:t>
      </w:r>
      <w:r w:rsidRPr="007C0ACA">
        <w:t xml:space="preserve"> shows </w:t>
      </w:r>
      <w:r w:rsidR="005955E9" w:rsidRPr="007C0ACA">
        <w:t>n</w:t>
      </w:r>
      <w:r w:rsidRPr="007C0ACA">
        <w:t>o difference</w:t>
      </w:r>
      <w:r w:rsidR="00DE1BE8" w:rsidRPr="007C0ACA">
        <w:t xml:space="preserve"> </w:t>
      </w:r>
      <w:r w:rsidRPr="007C0ACA">
        <w:t>in the fluctuations</w:t>
      </w:r>
      <w:r w:rsidR="00DE1BE8" w:rsidRPr="007C0ACA">
        <w:t xml:space="preserve"> </w:t>
      </w:r>
      <w:r w:rsidRPr="007C0ACA">
        <w:t>of</w:t>
      </w:r>
      <w:r w:rsidR="00DE1BE8" w:rsidRPr="007C0ACA">
        <w:t xml:space="preserve"> </w:t>
      </w:r>
      <w:r w:rsidRPr="007C0ACA">
        <w:t>helices</w:t>
      </w:r>
      <w:r w:rsidR="00DE1BE8" w:rsidRPr="007C0ACA">
        <w:t xml:space="preserve"> α2 and α5 </w:t>
      </w:r>
      <w:r w:rsidR="00866E57" w:rsidRPr="007C0ACA">
        <w:t xml:space="preserve">between the activator and the inhibitor </w:t>
      </w:r>
      <w:r w:rsidR="00DE1BE8" w:rsidRPr="007C0ACA">
        <w:t xml:space="preserve">(Figures 4B and 4D respectively). </w:t>
      </w:r>
      <w:r w:rsidRPr="007C0ACA">
        <w:t>In contrast</w:t>
      </w:r>
      <w:r w:rsidR="00DE1BE8" w:rsidRPr="007C0ACA">
        <w:t xml:space="preserve">, </w:t>
      </w:r>
      <w:r w:rsidR="00866E57" w:rsidRPr="007C0ACA">
        <w:t xml:space="preserve">Bak bound to </w:t>
      </w:r>
      <w:r w:rsidR="00C3208C" w:rsidRPr="007C0ACA">
        <w:t xml:space="preserve">the activator </w:t>
      </w:r>
      <w:r w:rsidR="003555A5" w:rsidRPr="007C0ACA">
        <w:t>exhibit</w:t>
      </w:r>
      <w:r w:rsidR="00B4645E" w:rsidRPr="007C0ACA">
        <w:t>s</w:t>
      </w:r>
      <w:r w:rsidR="00C3208C" w:rsidRPr="007C0ACA">
        <w:t xml:space="preserve"> larger fluctuations than </w:t>
      </w:r>
      <w:r w:rsidR="00135A6A" w:rsidRPr="007C0ACA">
        <w:t xml:space="preserve">when </w:t>
      </w:r>
      <w:r w:rsidR="00866E57" w:rsidRPr="007C0ACA">
        <w:t>bound to the</w:t>
      </w:r>
      <w:r w:rsidR="00C3208C" w:rsidRPr="007C0ACA">
        <w:t xml:space="preserve"> inhibitor at</w:t>
      </w:r>
      <w:r w:rsidR="0056092C" w:rsidRPr="007C0ACA">
        <w:t xml:space="preserve"> the </w:t>
      </w:r>
      <w:r w:rsidR="00866E57" w:rsidRPr="007C0ACA">
        <w:t>C-terminal</w:t>
      </w:r>
      <w:r w:rsidR="0056092C" w:rsidRPr="007C0ACA">
        <w:t xml:space="preserve"> </w:t>
      </w:r>
      <w:r w:rsidR="00B763AB" w:rsidRPr="007C0ACA">
        <w:t xml:space="preserve">segment </w:t>
      </w:r>
      <w:r w:rsidR="0056092C" w:rsidRPr="007C0ACA">
        <w:t>of helix</w:t>
      </w:r>
      <w:r w:rsidR="00DE1BE8" w:rsidRPr="007C0ACA">
        <w:t xml:space="preserve"> α1 </w:t>
      </w:r>
      <w:r w:rsidR="0056092C" w:rsidRPr="007C0ACA">
        <w:t xml:space="preserve">(residues from 42 to 46) </w:t>
      </w:r>
      <w:r w:rsidR="00C3208C" w:rsidRPr="007C0ACA">
        <w:t>(Figure 4A)</w:t>
      </w:r>
      <w:r w:rsidR="00DE1BE8" w:rsidRPr="007C0ACA">
        <w:t xml:space="preserve">. This difference is due to </w:t>
      </w:r>
      <w:r w:rsidR="0056092C" w:rsidRPr="007C0ACA">
        <w:t>the</w:t>
      </w:r>
      <w:r w:rsidR="00DE1BE8" w:rsidRPr="007C0ACA">
        <w:t xml:space="preserve"> interaction between residue</w:t>
      </w:r>
      <w:r w:rsidR="0056092C" w:rsidRPr="007C0ACA">
        <w:t>s</w:t>
      </w:r>
      <w:r w:rsidR="00DE1BE8" w:rsidRPr="007C0ACA">
        <w:t xml:space="preserve"> 9R1 155 </w:t>
      </w:r>
      <w:r w:rsidR="003555A5" w:rsidRPr="007C0ACA">
        <w:t>in</w:t>
      </w:r>
      <w:r w:rsidR="00DE1BE8" w:rsidRPr="007C0ACA">
        <w:t xml:space="preserve"> Bim(h3Pc) and R42 </w:t>
      </w:r>
      <w:r w:rsidR="003555A5" w:rsidRPr="007C0ACA">
        <w:t>in</w:t>
      </w:r>
      <w:r w:rsidRPr="007C0ACA">
        <w:t xml:space="preserve"> Bak that is </w:t>
      </w:r>
      <w:r w:rsidR="00DE1BE8" w:rsidRPr="007C0ACA">
        <w:t xml:space="preserve">not </w:t>
      </w:r>
      <w:r w:rsidR="00DD118B" w:rsidRPr="007C0ACA">
        <w:t>found</w:t>
      </w:r>
      <w:r w:rsidR="00DE1BE8" w:rsidRPr="007C0ACA">
        <w:t xml:space="preserve"> in </w:t>
      </w:r>
      <w:r w:rsidR="00135A6A" w:rsidRPr="007C0ACA">
        <w:t xml:space="preserve">the </w:t>
      </w:r>
      <w:r w:rsidR="00DD118B" w:rsidRPr="007C0ACA">
        <w:t>Bim</w:t>
      </w:r>
      <w:r w:rsidR="00DE1BE8" w:rsidRPr="007C0ACA">
        <w:t xml:space="preserve"> </w:t>
      </w:r>
      <w:r w:rsidR="008126EF" w:rsidRPr="007C0ACA">
        <w:t>wild type (</w:t>
      </w:r>
      <w:r w:rsidR="00DE1BE8" w:rsidRPr="007C0ACA">
        <w:t>WT</w:t>
      </w:r>
      <w:r w:rsidR="008126EF" w:rsidRPr="007C0ACA">
        <w:t>)</w:t>
      </w:r>
      <w:r w:rsidR="00DE1BE8" w:rsidRPr="007C0ACA">
        <w:t>. Th</w:t>
      </w:r>
      <w:r w:rsidR="00B763AB" w:rsidRPr="007C0ACA">
        <w:t>is</w:t>
      </w:r>
      <w:r w:rsidR="00DE1BE8" w:rsidRPr="007C0ACA">
        <w:t xml:space="preserve"> </w:t>
      </w:r>
      <w:r w:rsidR="00DD118B" w:rsidRPr="007C0ACA">
        <w:t>differen</w:t>
      </w:r>
      <w:r w:rsidR="00B763AB" w:rsidRPr="007C0ACA">
        <w:t>tial</w:t>
      </w:r>
      <w:r w:rsidR="00DE1BE8" w:rsidRPr="007C0ACA">
        <w:t xml:space="preserve"> fluctuation </w:t>
      </w:r>
      <w:r w:rsidR="00B763AB" w:rsidRPr="007C0ACA">
        <w:t xml:space="preserve">affects the </w:t>
      </w:r>
      <w:r w:rsidRPr="007C0ACA">
        <w:t>flexibility</w:t>
      </w:r>
      <w:r w:rsidR="00DE1BE8" w:rsidRPr="007C0ACA">
        <w:t xml:space="preserve"> of </w:t>
      </w:r>
      <w:r w:rsidR="00BA5E9D" w:rsidRPr="007C0ACA">
        <w:t xml:space="preserve">helix </w:t>
      </w:r>
      <w:r w:rsidR="00DE1BE8" w:rsidRPr="007C0ACA">
        <w:t xml:space="preserve">α1 </w:t>
      </w:r>
      <w:r w:rsidR="00DD118B" w:rsidRPr="007C0ACA">
        <w:t xml:space="preserve">as well as </w:t>
      </w:r>
      <w:r w:rsidR="00B763AB" w:rsidRPr="007C0ACA">
        <w:t>the loop between α1 and α2</w:t>
      </w:r>
      <w:r w:rsidR="00DE1BE8" w:rsidRPr="007C0ACA">
        <w:t xml:space="preserve"> </w:t>
      </w:r>
      <w:r w:rsidR="00B763AB" w:rsidRPr="007C0ACA">
        <w:t xml:space="preserve">that are </w:t>
      </w:r>
      <w:r w:rsidR="00DE1BE8" w:rsidRPr="007C0ACA">
        <w:t xml:space="preserve">in close contact </w:t>
      </w:r>
      <w:r w:rsidR="00DD118B" w:rsidRPr="007C0ACA">
        <w:t>to</w:t>
      </w:r>
      <w:r w:rsidR="00DE1BE8" w:rsidRPr="007C0ACA">
        <w:t xml:space="preserve"> α6</w:t>
      </w:r>
      <w:r w:rsidR="008719DB" w:rsidRPr="007C0ACA">
        <w:t xml:space="preserve">, </w:t>
      </w:r>
      <w:r w:rsidR="00B763AB" w:rsidRPr="007C0ACA">
        <w:t xml:space="preserve">which is in turn </w:t>
      </w:r>
      <w:r w:rsidRPr="007C0ACA">
        <w:t xml:space="preserve">is </w:t>
      </w:r>
      <w:r w:rsidR="00DD118B" w:rsidRPr="007C0ACA">
        <w:t>involved</w:t>
      </w:r>
      <w:r w:rsidR="00DE1BE8" w:rsidRPr="007C0ACA">
        <w:t xml:space="preserve"> in </w:t>
      </w:r>
      <w:r w:rsidRPr="007C0ACA">
        <w:t>Bak</w:t>
      </w:r>
      <w:r w:rsidR="00DE1BE8" w:rsidRPr="007C0ACA">
        <w:t xml:space="preserve"> activation. Thus, </w:t>
      </w:r>
      <w:r w:rsidR="00F57A12" w:rsidRPr="007C0ACA">
        <w:t xml:space="preserve">a decrease </w:t>
      </w:r>
      <w:r w:rsidR="008719DB" w:rsidRPr="007C0ACA">
        <w:t>of the</w:t>
      </w:r>
      <w:r w:rsidR="00F57A12" w:rsidRPr="007C0ACA">
        <w:t xml:space="preserve"> fluctuation</w:t>
      </w:r>
      <w:r w:rsidR="00F95086" w:rsidRPr="007C0ACA">
        <w:t>s</w:t>
      </w:r>
      <w:r w:rsidR="00F57A12" w:rsidRPr="007C0ACA">
        <w:t xml:space="preserve"> </w:t>
      </w:r>
      <w:r w:rsidR="008719DB" w:rsidRPr="007C0ACA">
        <w:t>in</w:t>
      </w:r>
      <w:r w:rsidR="00F57A12" w:rsidRPr="007C0ACA">
        <w:t xml:space="preserve"> this region</w:t>
      </w:r>
      <w:r w:rsidR="00DE1BE8" w:rsidRPr="007C0ACA">
        <w:t xml:space="preserve"> </w:t>
      </w:r>
      <w:r w:rsidR="00F01DFD" w:rsidRPr="007C0ACA">
        <w:t>can</w:t>
      </w:r>
      <w:r w:rsidR="00DE1BE8" w:rsidRPr="007C0ACA">
        <w:t xml:space="preserve"> affect </w:t>
      </w:r>
      <w:r w:rsidR="00000905" w:rsidRPr="007C0ACA">
        <w:t xml:space="preserve">the </w:t>
      </w:r>
      <w:r w:rsidR="00DE1BE8" w:rsidRPr="007C0ACA">
        <w:t>conformational changes that are necessary to produce a full activation of Bak.</w:t>
      </w:r>
      <w:r w:rsidR="00420912" w:rsidRPr="007C0ACA">
        <w:t xml:space="preserve"> This conclusion is supported by the recent disclosure of an activation site located in the loop between α1 and α2 that </w:t>
      </w:r>
      <w:r w:rsidR="00A2703C" w:rsidRPr="007C0ACA">
        <w:t xml:space="preserve">is </w:t>
      </w:r>
      <w:r w:rsidR="00420912" w:rsidRPr="007C0ACA">
        <w:t>triggered by antibod</w:t>
      </w:r>
      <w:r w:rsidR="00441BA7" w:rsidRPr="007C0ACA">
        <w:t>ies</w:t>
      </w:r>
      <w:r w:rsidR="00420912" w:rsidRPr="007C0ACA">
        <w:t>.</w:t>
      </w:r>
      <w:r w:rsidR="00420912" w:rsidRPr="007C0ACA">
        <w:rPr>
          <w:vertAlign w:val="superscript"/>
        </w:rPr>
        <w:fldChar w:fldCharType="begin" w:fldLock="1"/>
      </w:r>
      <w:r w:rsidR="00420912" w:rsidRPr="007C0ACA">
        <w:rPr>
          <w:vertAlign w:val="superscript"/>
        </w:rPr>
        <w:instrText>ADDIN CSL_CITATION {"citationItems":[{"id":"ITEM-1","itemData":{"DOI":"10.1038/ncomms11734","ISSN":"20411723","abstract":"During apoptosis, Bak and Bax are activated by BH3-only proteins binding to the α2-α5 hydrophobic groove; Bax is also activated via a rear pocket. Here we report that antibodies can directly activate Bak and mitochondrial Bax by binding to the α1-α2 loop. A monoclonal antibody (clone 7D10) binds close to α1 in non-activated Bak to induce conformational change, oligomerization, and cytochrome c release. Anti-FLAG antibodies also activate Bak containing a FLAG epitope close to α1. An antibody (clone 3C10) to the Bax α1-α2 loop activates mitochondrial Bax, but blocks translocation of cytosolic Bax. Tethers within Bak show that 7D10 binding directly extricates α1; a structural model of the 7D10 Fab bound to Bak reveals the formation of a cavity under α1. Our identification of the α1-α2 loop as an activation site in Bak paves the way to develop intrabodies or small molecules that directly and selectively regulate these proteins.","author":[{"dropping-particle":"","family":"Iyer","given":"Sweta","non-dropping-particle":"","parse-names":false,"suffix":""},{"dropping-particle":"","family":"Anwari","given":"Khatira","non-dropping-particle":"","parse-names":false,"suffix":""},{"dropping-particle":"","family":"Alsop","given":"Amber E.","non-dropping-particle":"","parse-names":false,"suffix":""},{"dropping-particle":"","family":"Yuen","given":"Wai Shan","non-dropping-particle":"","parse-names":false,"suffix":""},{"dropping-particle":"","family":"Huang","given":"David C.S.","non-dropping-particle":"","parse-names":false,"suffix":""},{"dropping-particle":"","family":"Carroll","given":"John","non-dropping-particle":"","parse-names":false,"suffix":""},{"dropping-particle":"","family":"Smith","given":"Nicholas A.","non-dropping-particle":"","parse-names":false,"suffix":""},{"dropping-particle":"","family":"Smith","given":"Brian J.","non-dropping-particle":"","parse-names":false,"suffix":""},{"dropping-particle":"","family":"Dewson","given":"Grant","non-dropping-particle":"","parse-names":false,"suffix":""},{"dropping-particle":"","family":"Kluck","given":"Ruth M.","non-dropping-particle":"","parse-names":false,"suffix":""}],"container-title":"Nature Communications","id":"ITEM-1","issue":"May","issued":{"date-parts":[["2016"]]},"page":"1-10","publisher":"Nature Publishing Group","title":"Identification of an activation site in Bak and mitochondrial Bax triggered by antibodies","type":"article-journal","volume":"7"},"uris":["http://www.mendeley.com/documents/?uuid=9f248204-a285-4a19-94b8-e77f1d441a8e"]}],"mendeley":{"formattedCitation":"(24)","manualFormatting":"24","plainTextFormattedCitation":"(24)","previouslyFormattedCitation":"(24)"},"properties":{"noteIndex":0},"schema":"https://github.com/citation-style-language/schema/raw/master/csl-citation.json"}</w:instrText>
      </w:r>
      <w:r w:rsidR="00420912" w:rsidRPr="007C0ACA">
        <w:rPr>
          <w:vertAlign w:val="superscript"/>
        </w:rPr>
        <w:fldChar w:fldCharType="separate"/>
      </w:r>
      <w:r w:rsidR="00420912" w:rsidRPr="007C0ACA">
        <w:rPr>
          <w:noProof/>
          <w:vertAlign w:val="superscript"/>
        </w:rPr>
        <w:t>24</w:t>
      </w:r>
      <w:r w:rsidR="00420912" w:rsidRPr="007C0ACA">
        <w:rPr>
          <w:vertAlign w:val="superscript"/>
        </w:rPr>
        <w:fldChar w:fldCharType="end"/>
      </w:r>
      <w:r w:rsidR="00C83249" w:rsidRPr="007C0ACA">
        <w:t xml:space="preserve"> </w:t>
      </w:r>
      <w:r w:rsidR="00DE1BE8" w:rsidRPr="007C0ACA">
        <w:t xml:space="preserve">Other differences </w:t>
      </w:r>
      <w:r w:rsidR="0028482E" w:rsidRPr="007C0ACA">
        <w:t>in the flexibility of Bak when bound to</w:t>
      </w:r>
      <w:r w:rsidR="00DE1BE8" w:rsidRPr="007C0ACA">
        <w:t xml:space="preserve"> </w:t>
      </w:r>
      <w:r w:rsidR="00C06ECB" w:rsidRPr="007C0ACA">
        <w:t xml:space="preserve">the </w:t>
      </w:r>
      <w:r w:rsidR="00DE1BE8" w:rsidRPr="007C0ACA">
        <w:t xml:space="preserve">activator </w:t>
      </w:r>
      <w:r w:rsidR="0028482E" w:rsidRPr="007C0ACA">
        <w:t>or</w:t>
      </w:r>
      <w:r w:rsidR="00DE1BE8" w:rsidRPr="007C0ACA">
        <w:t xml:space="preserve"> </w:t>
      </w:r>
      <w:r w:rsidR="00C06ECB" w:rsidRPr="007C0ACA">
        <w:t xml:space="preserve">the </w:t>
      </w:r>
      <w:r w:rsidR="00DE1BE8" w:rsidRPr="007C0ACA">
        <w:t>inhibitor</w:t>
      </w:r>
      <w:r w:rsidR="0028482E" w:rsidRPr="007C0ACA">
        <w:t>,</w:t>
      </w:r>
      <w:r w:rsidR="00DE1BE8" w:rsidRPr="007C0ACA">
        <w:t xml:space="preserve"> </w:t>
      </w:r>
      <w:r w:rsidR="00181736" w:rsidRPr="007C0ACA">
        <w:t>are</w:t>
      </w:r>
      <w:r w:rsidR="008719DB" w:rsidRPr="007C0ACA">
        <w:t xml:space="preserve"> observed</w:t>
      </w:r>
      <w:r w:rsidR="00DE1BE8" w:rsidRPr="007C0ACA">
        <w:t xml:space="preserve"> in helix α3 (Figure 4C). </w:t>
      </w:r>
      <w:r w:rsidR="004D144E" w:rsidRPr="007C0ACA">
        <w:t>In</w:t>
      </w:r>
      <w:r w:rsidR="00DE1BE8" w:rsidRPr="007C0ACA">
        <w:t xml:space="preserve"> the </w:t>
      </w:r>
      <w:r w:rsidR="0028482E" w:rsidRPr="007C0ACA">
        <w:t>former</w:t>
      </w:r>
      <w:r w:rsidR="00C83249" w:rsidRPr="007C0ACA">
        <w:t>,</w:t>
      </w:r>
      <w:r w:rsidR="003616D4" w:rsidRPr="007C0ACA">
        <w:t xml:space="preserve"> </w:t>
      </w:r>
      <w:r w:rsidR="00DE1BE8" w:rsidRPr="007C0ACA">
        <w:t>residues 87</w:t>
      </w:r>
      <w:r w:rsidR="004D144E" w:rsidRPr="007C0ACA">
        <w:t>-9</w:t>
      </w:r>
      <w:r w:rsidR="00DE1BE8" w:rsidRPr="007C0ACA">
        <w:t xml:space="preserve">2 experience </w:t>
      </w:r>
      <w:r w:rsidR="004D144E" w:rsidRPr="007C0ACA">
        <w:t>large</w:t>
      </w:r>
      <w:r w:rsidR="00DE1BE8" w:rsidRPr="007C0ACA">
        <w:t xml:space="preserve"> fluctuation</w:t>
      </w:r>
      <w:r w:rsidR="004D144E" w:rsidRPr="007C0ACA">
        <w:t>s</w:t>
      </w:r>
      <w:r w:rsidR="00DE1BE8" w:rsidRPr="007C0ACA">
        <w:t xml:space="preserve"> </w:t>
      </w:r>
      <w:r w:rsidR="004D144E" w:rsidRPr="007C0ACA">
        <w:t>whereas</w:t>
      </w:r>
      <w:r w:rsidR="00C83249" w:rsidRPr="007C0ACA">
        <w:t>,</w:t>
      </w:r>
      <w:r w:rsidR="004D144E" w:rsidRPr="007C0ACA">
        <w:t xml:space="preserve"> in </w:t>
      </w:r>
      <w:r w:rsidR="00DE1BE8" w:rsidRPr="007C0ACA">
        <w:t>the</w:t>
      </w:r>
      <w:r w:rsidR="004D144E" w:rsidRPr="007C0ACA">
        <w:t xml:space="preserve"> </w:t>
      </w:r>
      <w:r w:rsidR="0028482E" w:rsidRPr="007C0ACA">
        <w:t>latter</w:t>
      </w:r>
      <w:r w:rsidR="00DE1BE8" w:rsidRPr="007C0ACA">
        <w:t xml:space="preserve"> </w:t>
      </w:r>
      <w:r w:rsidR="008719DB" w:rsidRPr="007C0ACA">
        <w:t>fluctuations</w:t>
      </w:r>
      <w:r w:rsidR="00DE1BE8" w:rsidRPr="007C0ACA">
        <w:t xml:space="preserve"> </w:t>
      </w:r>
      <w:r w:rsidR="004D144E" w:rsidRPr="007C0ACA">
        <w:t xml:space="preserve">are </w:t>
      </w:r>
      <w:r w:rsidR="00996A87" w:rsidRPr="007C0ACA">
        <w:t>located</w:t>
      </w:r>
      <w:r w:rsidR="00DE1BE8" w:rsidRPr="007C0ACA">
        <w:t xml:space="preserve"> between </w:t>
      </w:r>
      <w:r w:rsidR="004D144E" w:rsidRPr="007C0ACA">
        <w:t xml:space="preserve">residues </w:t>
      </w:r>
      <w:r w:rsidR="00DE1BE8" w:rsidRPr="007C0ACA">
        <w:t>90</w:t>
      </w:r>
      <w:r w:rsidR="004D144E" w:rsidRPr="007C0ACA">
        <w:t>-</w:t>
      </w:r>
      <w:r w:rsidR="00DE1BE8" w:rsidRPr="007C0ACA">
        <w:t xml:space="preserve">95. </w:t>
      </w:r>
      <w:r w:rsidR="00466535" w:rsidRPr="007C0ACA">
        <w:t xml:space="preserve">The lower fluctuations observed between resides 87-92 </w:t>
      </w:r>
      <w:r w:rsidR="0042656C" w:rsidRPr="007C0ACA">
        <w:t xml:space="preserve">when the inhibitor is bound </w:t>
      </w:r>
      <w:r w:rsidR="00466535" w:rsidRPr="007C0ACA">
        <w:t>can be explained by</w:t>
      </w:r>
      <w:r w:rsidR="00DE1BE8" w:rsidRPr="007C0ACA">
        <w:t xml:space="preserve"> the </w:t>
      </w:r>
      <w:r w:rsidR="00466535" w:rsidRPr="007C0ACA">
        <w:t xml:space="preserve">presence of a </w:t>
      </w:r>
      <w:r w:rsidR="00387A0C" w:rsidRPr="007C0ACA">
        <w:t xml:space="preserve">stabilising </w:t>
      </w:r>
      <w:r w:rsidR="00466535" w:rsidRPr="007C0ACA">
        <w:t xml:space="preserve">hydrogen bond </w:t>
      </w:r>
      <w:r w:rsidR="00DE1BE8" w:rsidRPr="007C0ACA">
        <w:t xml:space="preserve">between </w:t>
      </w:r>
      <w:r w:rsidR="00996A87" w:rsidRPr="007C0ACA">
        <w:t>residue</w:t>
      </w:r>
      <w:r w:rsidR="00F95086" w:rsidRPr="007C0ACA">
        <w:t>s</w:t>
      </w:r>
      <w:r w:rsidR="00996A87" w:rsidRPr="007C0ACA">
        <w:t xml:space="preserve"> </w:t>
      </w:r>
      <w:r w:rsidR="00DE1BE8" w:rsidRPr="007C0ACA">
        <w:t xml:space="preserve">9R1 </w:t>
      </w:r>
      <w:r w:rsidR="004D144E" w:rsidRPr="007C0ACA">
        <w:t xml:space="preserve">155 </w:t>
      </w:r>
      <w:r w:rsidR="00F95086" w:rsidRPr="007C0ACA">
        <w:t>in</w:t>
      </w:r>
      <w:r w:rsidR="00DE1BE8" w:rsidRPr="007C0ACA">
        <w:t xml:space="preserve"> </w:t>
      </w:r>
      <w:r w:rsidR="003616D4" w:rsidRPr="007C0ACA">
        <w:t>Bim(h3Pc)</w:t>
      </w:r>
      <w:r w:rsidR="00DE1BE8" w:rsidRPr="007C0ACA">
        <w:t xml:space="preserve"> and N86</w:t>
      </w:r>
      <w:r w:rsidR="00F95086" w:rsidRPr="007C0ACA">
        <w:t xml:space="preserve"> in Bak that</w:t>
      </w:r>
      <w:r w:rsidR="00DE1BE8" w:rsidRPr="007C0ACA">
        <w:t xml:space="preserve"> reduc</w:t>
      </w:r>
      <w:r w:rsidR="00F95086" w:rsidRPr="007C0ACA">
        <w:t>e</w:t>
      </w:r>
      <w:r w:rsidR="003616D4" w:rsidRPr="007C0ACA">
        <w:t>s</w:t>
      </w:r>
      <w:r w:rsidR="00DE1BE8" w:rsidRPr="007C0ACA">
        <w:t xml:space="preserve"> </w:t>
      </w:r>
      <w:r w:rsidR="00F95086" w:rsidRPr="007C0ACA">
        <w:t>helix</w:t>
      </w:r>
      <w:r w:rsidR="008719DB" w:rsidRPr="007C0ACA">
        <w:t xml:space="preserve"> </w:t>
      </w:r>
      <w:r w:rsidR="00A2703C" w:rsidRPr="007C0ACA">
        <w:t>N-termin</w:t>
      </w:r>
      <w:r w:rsidR="003616D4" w:rsidRPr="007C0ACA">
        <w:t>al flexibility</w:t>
      </w:r>
      <w:r w:rsidR="00F95086" w:rsidRPr="007C0ACA">
        <w:t xml:space="preserve">. </w:t>
      </w:r>
      <w:r w:rsidR="0090298C" w:rsidRPr="007C0ACA">
        <w:t>On the other hand</w:t>
      </w:r>
      <w:r w:rsidR="00466535" w:rsidRPr="007C0ACA">
        <w:t>,</w:t>
      </w:r>
      <w:r w:rsidR="00F95086" w:rsidRPr="007C0ACA">
        <w:t xml:space="preserve"> </w:t>
      </w:r>
      <w:r w:rsidR="0090298C" w:rsidRPr="007C0ACA">
        <w:t xml:space="preserve">the lower fluctuations observed </w:t>
      </w:r>
      <w:r w:rsidR="00387A0C" w:rsidRPr="007C0ACA">
        <w:t xml:space="preserve">between residues 90-95 </w:t>
      </w:r>
      <w:r w:rsidR="0042656C" w:rsidRPr="007C0ACA">
        <w:t>in</w:t>
      </w:r>
      <w:r w:rsidR="0090298C" w:rsidRPr="007C0ACA">
        <w:t xml:space="preserve"> the activator bound </w:t>
      </w:r>
      <w:r w:rsidR="0042656C" w:rsidRPr="007C0ACA">
        <w:t xml:space="preserve">complex </w:t>
      </w:r>
      <w:r w:rsidR="00387A0C" w:rsidRPr="007C0ACA">
        <w:t>compared</w:t>
      </w:r>
      <w:r w:rsidR="0042656C" w:rsidRPr="007C0ACA">
        <w:t xml:space="preserve"> to the inhibitor bound complex can be explained to a differential </w:t>
      </w:r>
      <w:r w:rsidR="003E33D9" w:rsidRPr="007C0ACA">
        <w:t>hydrogen bond scheme</w:t>
      </w:r>
      <w:r w:rsidR="00387A0C" w:rsidRPr="007C0ACA">
        <w:t xml:space="preserve"> in the two complexes</w:t>
      </w:r>
      <w:r w:rsidR="0042656C" w:rsidRPr="007C0ACA">
        <w:t>. In the former,</w:t>
      </w:r>
      <w:r w:rsidR="00DE1BE8" w:rsidRPr="007C0ACA">
        <w:t xml:space="preserve"> helix α3 </w:t>
      </w:r>
      <w:r w:rsidR="0042656C" w:rsidRPr="007C0ACA">
        <w:t xml:space="preserve">is stabilised </w:t>
      </w:r>
      <w:r w:rsidR="00DE1BE8" w:rsidRPr="007C0ACA">
        <w:t xml:space="preserve">by </w:t>
      </w:r>
      <w:r w:rsidR="00466535" w:rsidRPr="007C0ACA">
        <w:t>an</w:t>
      </w:r>
      <w:r w:rsidR="00DE1BE8" w:rsidRPr="007C0ACA">
        <w:t xml:space="preserve"> interaction between </w:t>
      </w:r>
      <w:r w:rsidR="004D144E" w:rsidRPr="007C0ACA">
        <w:t xml:space="preserve">D90 </w:t>
      </w:r>
      <w:r w:rsidR="00DE1BE8" w:rsidRPr="007C0ACA">
        <w:t xml:space="preserve">and </w:t>
      </w:r>
      <w:r w:rsidR="004D144E" w:rsidRPr="007C0ACA">
        <w:t>R42</w:t>
      </w:r>
      <w:r w:rsidR="00F95086" w:rsidRPr="007C0ACA">
        <w:t xml:space="preserve"> </w:t>
      </w:r>
      <w:r w:rsidR="0042656C" w:rsidRPr="007C0ACA">
        <w:t>whereas</w:t>
      </w:r>
      <w:r w:rsidR="00387A0C" w:rsidRPr="007C0ACA">
        <w:t>,</w:t>
      </w:r>
      <w:r w:rsidR="0042656C" w:rsidRPr="007C0ACA">
        <w:t xml:space="preserve"> </w:t>
      </w:r>
      <w:r w:rsidR="003E33D9" w:rsidRPr="007C0ACA">
        <w:t xml:space="preserve">in the latter </w:t>
      </w:r>
      <w:r w:rsidR="00A24202" w:rsidRPr="007C0ACA">
        <w:t xml:space="preserve">this interaction is </w:t>
      </w:r>
      <w:r w:rsidR="00C070BB" w:rsidRPr="007C0ACA">
        <w:t>established</w:t>
      </w:r>
      <w:r w:rsidR="00A24202" w:rsidRPr="007C0ACA">
        <w:t xml:space="preserve"> </w:t>
      </w:r>
      <w:r w:rsidR="0042656C" w:rsidRPr="007C0ACA">
        <w:t>between</w:t>
      </w:r>
      <w:r w:rsidR="00DE1BE8" w:rsidRPr="007C0ACA">
        <w:t xml:space="preserve"> 9R1 155 of Bim(h3Pc) </w:t>
      </w:r>
      <w:r w:rsidR="00C070BB" w:rsidRPr="007C0ACA">
        <w:t>and</w:t>
      </w:r>
      <w:r w:rsidR="00DE1BE8" w:rsidRPr="007C0ACA">
        <w:t xml:space="preserve"> </w:t>
      </w:r>
      <w:r w:rsidR="004D144E" w:rsidRPr="007C0ACA">
        <w:t>R42</w:t>
      </w:r>
      <w:r w:rsidR="00F95086" w:rsidRPr="007C0ACA">
        <w:t xml:space="preserve"> in Bak</w:t>
      </w:r>
      <w:r w:rsidR="00C070BB" w:rsidRPr="007C0ACA">
        <w:t>. The difference between an interaction between two helices within Bak and an interaction between Bak and a ligand</w:t>
      </w:r>
      <w:r w:rsidR="00A24202" w:rsidRPr="007C0ACA">
        <w:t xml:space="preserve"> </w:t>
      </w:r>
      <w:r w:rsidR="00C070BB" w:rsidRPr="007C0ACA">
        <w:t xml:space="preserve">is reflected in an </w:t>
      </w:r>
      <w:r w:rsidR="00A24202" w:rsidRPr="007C0ACA">
        <w:t>increas</w:t>
      </w:r>
      <w:r w:rsidR="00C070BB" w:rsidRPr="007C0ACA">
        <w:t>e</w:t>
      </w:r>
      <w:r w:rsidR="0042656C" w:rsidRPr="007C0ACA">
        <w:t xml:space="preserve"> </w:t>
      </w:r>
      <w:r w:rsidR="00C070BB" w:rsidRPr="007C0ACA">
        <w:t>of</w:t>
      </w:r>
      <w:r w:rsidR="00387A0C" w:rsidRPr="007C0ACA">
        <w:t xml:space="preserve"> </w:t>
      </w:r>
      <w:r w:rsidR="00DE1BE8" w:rsidRPr="007C0ACA">
        <w:t>helix α3</w:t>
      </w:r>
      <w:r w:rsidR="0042656C" w:rsidRPr="007C0ACA">
        <w:t xml:space="preserve"> flexibility at its C-terminus</w:t>
      </w:r>
      <w:r w:rsidR="00DE1BE8" w:rsidRPr="007C0ACA">
        <w:t>.</w:t>
      </w:r>
    </w:p>
    <w:p w14:paraId="4D882E13" w14:textId="1DE6CA8E" w:rsidR="00A2703C" w:rsidRPr="007C0ACA" w:rsidRDefault="00D632FD" w:rsidP="00A2703C">
      <w:pPr>
        <w:spacing w:line="276" w:lineRule="auto"/>
        <w:ind w:firstLine="720"/>
        <w:jc w:val="both"/>
      </w:pPr>
      <w:r w:rsidRPr="007C0ACA">
        <w:t>Figure</w:t>
      </w:r>
      <w:r w:rsidR="0050616E" w:rsidRPr="007C0ACA">
        <w:t>s</w:t>
      </w:r>
      <w:r w:rsidRPr="007C0ACA">
        <w:t xml:space="preserve"> 5</w:t>
      </w:r>
      <w:r w:rsidR="0050616E" w:rsidRPr="007C0ACA">
        <w:t>A-D show</w:t>
      </w:r>
      <w:r w:rsidRPr="007C0ACA">
        <w:t xml:space="preserve"> the computed square summation of the atomic fluctuations for helices α1, α2, α3 and α5 for the complexes </w:t>
      </w:r>
      <w:r w:rsidR="0050616E" w:rsidRPr="007C0ACA">
        <w:t xml:space="preserve">of </w:t>
      </w:r>
      <w:r w:rsidRPr="007C0ACA">
        <w:t xml:space="preserve">Bim and Bim(h3Pc) </w:t>
      </w:r>
      <w:r w:rsidR="0050616E" w:rsidRPr="007C0ACA">
        <w:t xml:space="preserve">with Bak </w:t>
      </w:r>
      <w:r w:rsidRPr="007C0ACA">
        <w:t xml:space="preserve">in its </w:t>
      </w:r>
      <w:r w:rsidRPr="007C0ACA">
        <w:rPr>
          <w:i/>
        </w:rPr>
        <w:t>active</w:t>
      </w:r>
      <w:r w:rsidRPr="007C0ACA">
        <w:t xml:space="preserve"> conformation. </w:t>
      </w:r>
      <w:r w:rsidR="00866E57" w:rsidRPr="007C0ACA">
        <w:t xml:space="preserve">Similarly </w:t>
      </w:r>
      <w:r w:rsidR="00B763AB" w:rsidRPr="007C0ACA">
        <w:t>to</w:t>
      </w:r>
      <w:r w:rsidR="00866E57" w:rsidRPr="007C0ACA">
        <w:t xml:space="preserve"> the case of the complexes studied with Bak in its </w:t>
      </w:r>
      <w:r w:rsidR="00866E57" w:rsidRPr="007C0ACA">
        <w:rPr>
          <w:i/>
        </w:rPr>
        <w:t>inactive</w:t>
      </w:r>
      <w:r w:rsidR="00866E57" w:rsidRPr="007C0ACA">
        <w:t xml:space="preserve"> conformation, the addition of more Principal Components does not improve the explanation of the fluctuations of the system. </w:t>
      </w:r>
    </w:p>
    <w:p w14:paraId="517C1170" w14:textId="2C7CCD44" w:rsidR="00307753" w:rsidRPr="007C0ACA" w:rsidRDefault="0050616E" w:rsidP="002D317F">
      <w:pPr>
        <w:spacing w:line="276" w:lineRule="auto"/>
        <w:ind w:firstLine="720"/>
        <w:jc w:val="both"/>
      </w:pPr>
      <w:r w:rsidRPr="003E683C">
        <w:t>Inspection of Figures 5A-D suggest</w:t>
      </w:r>
      <w:r w:rsidR="0028482E" w:rsidRPr="003E683C">
        <w:t>s</w:t>
      </w:r>
      <w:r w:rsidRPr="003E683C">
        <w:t xml:space="preserve"> that protein fluctuations are larger </w:t>
      </w:r>
      <w:r w:rsidR="0028482E" w:rsidRPr="003E683C">
        <w:t>for</w:t>
      </w:r>
      <w:r w:rsidR="00181736" w:rsidRPr="003E683C">
        <w:t xml:space="preserve"> the activator </w:t>
      </w:r>
      <w:r w:rsidR="0028482E" w:rsidRPr="003E683C">
        <w:t xml:space="preserve">bound </w:t>
      </w:r>
      <w:r w:rsidRPr="003E683C">
        <w:t xml:space="preserve">than </w:t>
      </w:r>
      <w:r w:rsidR="0028482E" w:rsidRPr="003E683C">
        <w:t>for</w:t>
      </w:r>
      <w:r w:rsidRPr="003E683C">
        <w:t xml:space="preserve"> </w:t>
      </w:r>
      <w:r w:rsidR="00181736" w:rsidRPr="003E683C">
        <w:t xml:space="preserve">the </w:t>
      </w:r>
      <w:r w:rsidRPr="003E683C">
        <w:t>inhibitor bound</w:t>
      </w:r>
      <w:r w:rsidR="0028482E" w:rsidRPr="003E683C">
        <w:t xml:space="preserve"> complex</w:t>
      </w:r>
      <w:r w:rsidRPr="003E683C">
        <w:t xml:space="preserve">, </w:t>
      </w:r>
      <w:r w:rsidR="0028482E" w:rsidRPr="003E683C">
        <w:t xml:space="preserve">except </w:t>
      </w:r>
      <w:r w:rsidR="00B07C7B" w:rsidRPr="003E683C">
        <w:t>for</w:t>
      </w:r>
      <w:r w:rsidR="0028482E" w:rsidRPr="003E683C">
        <w:t xml:space="preserve"> the segment includ</w:t>
      </w:r>
      <w:r w:rsidR="00B07C7B" w:rsidRPr="003E683C">
        <w:t>ing</w:t>
      </w:r>
      <w:r w:rsidR="0028482E" w:rsidRPr="003E683C">
        <w:t xml:space="preserve"> residues 86-90</w:t>
      </w:r>
      <w:r w:rsidRPr="007C0ACA">
        <w:t xml:space="preserve">. </w:t>
      </w:r>
      <w:r w:rsidR="009B289F" w:rsidRPr="007C0ACA">
        <w:t xml:space="preserve">Figure 5A shows the Principal Component fluctuations of the residues </w:t>
      </w:r>
      <w:r w:rsidR="0013028A" w:rsidRPr="007C0ACA">
        <w:t>of</w:t>
      </w:r>
      <w:r w:rsidR="008519EB" w:rsidRPr="007C0ACA">
        <w:t xml:space="preserve"> </w:t>
      </w:r>
      <w:r w:rsidR="0013028A" w:rsidRPr="007C0ACA">
        <w:t>helix α1</w:t>
      </w:r>
      <w:r w:rsidR="009B289F" w:rsidRPr="007C0ACA">
        <w:t>.</w:t>
      </w:r>
      <w:r w:rsidR="0013028A" w:rsidRPr="007C0ACA">
        <w:t xml:space="preserve"> </w:t>
      </w:r>
      <w:r w:rsidR="009B289F" w:rsidRPr="007C0ACA">
        <w:t xml:space="preserve">Higher fluctuations in the activator bound compared to the inhibitor bound complex </w:t>
      </w:r>
      <w:r w:rsidR="0013028A" w:rsidRPr="007C0ACA">
        <w:t xml:space="preserve">are observed </w:t>
      </w:r>
      <w:r w:rsidR="009B289F" w:rsidRPr="007C0ACA">
        <w:t>for</w:t>
      </w:r>
      <w:r w:rsidR="0013028A" w:rsidRPr="007C0ACA">
        <w:t xml:space="preserve"> all the residues</w:t>
      </w:r>
      <w:r w:rsidR="009B289F" w:rsidRPr="007C0ACA">
        <w:t>, in contrast to the behaviour observed in the inactive form, only</w:t>
      </w:r>
      <w:r w:rsidR="0013028A" w:rsidRPr="007C0ACA">
        <w:t xml:space="preserve"> at the C-terminus.</w:t>
      </w:r>
      <w:r w:rsidR="009B289F" w:rsidRPr="007C0ACA">
        <w:t xml:space="preserve"> </w:t>
      </w:r>
      <w:r w:rsidR="009B289F" w:rsidRPr="000136D0">
        <w:t>Th</w:t>
      </w:r>
      <w:r w:rsidR="000136D0">
        <w:t>ese</w:t>
      </w:r>
      <w:r w:rsidR="009B289F" w:rsidRPr="000136D0">
        <w:t xml:space="preserve"> increased fluctuations</w:t>
      </w:r>
      <w:r w:rsidR="009B289F" w:rsidRPr="007C0ACA">
        <w:t xml:space="preserve"> are due to the interaction between 9R1 155 in Bim(h3Pc) and R42 in Bak. Concerning helix α2 (Figure 5B), no </w:t>
      </w:r>
      <w:r w:rsidR="009A4639" w:rsidRPr="007C0ACA">
        <w:t xml:space="preserve">difference </w:t>
      </w:r>
      <w:r w:rsidR="009B289F" w:rsidRPr="007C0ACA">
        <w:t xml:space="preserve">is found between the activator bound and the inhibitor bound complex. Figure 5C shows pictorially the Principal Component fluctuations of the residues of helix α3. Inspection of Figure 5C reveals a similar fluctuation profile in both activator and inhibitor complexes, although the fluctuations at the C-terminus segment </w:t>
      </w:r>
      <w:r w:rsidR="00307753" w:rsidRPr="007C0ACA">
        <w:t xml:space="preserve">are larger </w:t>
      </w:r>
      <w:r w:rsidR="009B289F" w:rsidRPr="007C0ACA">
        <w:t>in the former</w:t>
      </w:r>
      <w:r w:rsidR="00307753" w:rsidRPr="007C0ACA">
        <w:t xml:space="preserve">, whereas it is reversed </w:t>
      </w:r>
      <w:r w:rsidR="009B289F" w:rsidRPr="007C0ACA">
        <w:t>at the N-terminus segment.</w:t>
      </w:r>
      <w:r w:rsidR="00307753" w:rsidRPr="007C0ACA">
        <w:t xml:space="preserve"> Finally, Figure 5D shows pictorially the Principal Component fluctuations of helix α5. </w:t>
      </w:r>
      <w:r w:rsidR="00307753" w:rsidRPr="000136D0">
        <w:t>The larger residue fluctuations are observed in the activator bound compared to inhibitor bound complex</w:t>
      </w:r>
      <w:r w:rsidR="000136D0">
        <w:t>. This is</w:t>
      </w:r>
      <w:r w:rsidR="00307753" w:rsidRPr="000136D0">
        <w:t xml:space="preserve"> due to the stabilisation of helix α5 through the interaction of 9R1 155 with R137 in Bak.</w:t>
      </w:r>
      <w:r w:rsidR="00307753" w:rsidRPr="007C0ACA">
        <w:t xml:space="preserve"> </w:t>
      </w:r>
    </w:p>
    <w:p w14:paraId="048DBFF5" w14:textId="77777777" w:rsidR="009A4639" w:rsidRPr="007C0ACA" w:rsidRDefault="002D317F" w:rsidP="00C66A7E">
      <w:pPr>
        <w:spacing w:line="276" w:lineRule="auto"/>
        <w:ind w:firstLine="720"/>
        <w:jc w:val="both"/>
      </w:pPr>
      <w:bookmarkStart w:id="10" w:name="_Hlk29977699"/>
      <w:r w:rsidRPr="007C0ACA">
        <w:t xml:space="preserve">Comparison of Figures 4A-D and 5A-D shows significant differences between the </w:t>
      </w:r>
      <w:r w:rsidRPr="007C0ACA">
        <w:rPr>
          <w:i/>
        </w:rPr>
        <w:t>active</w:t>
      </w:r>
      <w:r w:rsidRPr="007C0ACA">
        <w:t xml:space="preserve"> and the </w:t>
      </w:r>
      <w:r w:rsidRPr="007C0ACA">
        <w:rPr>
          <w:i/>
        </w:rPr>
        <w:t>inactive</w:t>
      </w:r>
      <w:r w:rsidRPr="007C0ACA">
        <w:t xml:space="preserve"> conformations. </w:t>
      </w:r>
      <w:r w:rsidR="00FE62AA" w:rsidRPr="007C0ACA">
        <w:t xml:space="preserve">In the case of helix α1 (Figures 4A and 5A), the activator bound </w:t>
      </w:r>
      <w:r w:rsidR="00FE62AA" w:rsidRPr="007C0ACA">
        <w:rPr>
          <w:i/>
        </w:rPr>
        <w:t>active</w:t>
      </w:r>
      <w:r w:rsidR="00FE62AA" w:rsidRPr="007C0ACA">
        <w:t xml:space="preserve"> </w:t>
      </w:r>
      <w:r w:rsidR="00FE62AA" w:rsidRPr="007C0ACA">
        <w:lastRenderedPageBreak/>
        <w:t xml:space="preserve">conformation exhibits large fluctuations involving all the residues of the helix, whereas in the case of the </w:t>
      </w:r>
      <w:r w:rsidR="00FE62AA" w:rsidRPr="007C0ACA">
        <w:rPr>
          <w:i/>
        </w:rPr>
        <w:t>inactive</w:t>
      </w:r>
      <w:r w:rsidR="00FE62AA" w:rsidRPr="007C0ACA">
        <w:t xml:space="preserve"> one only the C-terminus is involved. This differential behaviour can affect the conformational changes that are subsequently required for full Bak activation. Comparison of Figures 4C and 5C reveals that the C-terminal residues of helix α3 exhibit higher fluctuations in the Bak </w:t>
      </w:r>
      <w:r w:rsidR="00FE62AA" w:rsidRPr="007C0ACA">
        <w:rPr>
          <w:i/>
        </w:rPr>
        <w:t xml:space="preserve">inactive </w:t>
      </w:r>
      <w:r w:rsidR="00FE62AA" w:rsidRPr="007C0ACA">
        <w:t xml:space="preserve">conformation than in the </w:t>
      </w:r>
      <w:r w:rsidR="00FE62AA" w:rsidRPr="007C0ACA">
        <w:rPr>
          <w:i/>
        </w:rPr>
        <w:t xml:space="preserve">active </w:t>
      </w:r>
      <w:r w:rsidR="00FE62AA" w:rsidRPr="007C0ACA">
        <w:t>one</w:t>
      </w:r>
      <w:r w:rsidR="00FE62AA" w:rsidRPr="007C0ACA">
        <w:rPr>
          <w:i/>
        </w:rPr>
        <w:t xml:space="preserve"> </w:t>
      </w:r>
      <w:r w:rsidR="00FE62AA" w:rsidRPr="007C0ACA">
        <w:t xml:space="preserve">when </w:t>
      </w:r>
      <w:r w:rsidR="00053CB4" w:rsidRPr="007C0ACA">
        <w:t>the inhibitor</w:t>
      </w:r>
      <w:r w:rsidR="00FE62AA" w:rsidRPr="007C0ACA">
        <w:t xml:space="preserve"> is bound. Finally, no differences in residue fluctuations are observed in helix α2 for Bim and Bim(h3Pc) as can be seen in Figures 4B and 5B, both for the </w:t>
      </w:r>
      <w:r w:rsidR="00FE62AA" w:rsidRPr="007C0ACA">
        <w:rPr>
          <w:i/>
        </w:rPr>
        <w:t>active</w:t>
      </w:r>
      <w:r w:rsidR="00FE62AA" w:rsidRPr="007C0ACA">
        <w:t xml:space="preserve"> and </w:t>
      </w:r>
      <w:r w:rsidR="00FE62AA" w:rsidRPr="007C0ACA">
        <w:rPr>
          <w:i/>
        </w:rPr>
        <w:t>inactive</w:t>
      </w:r>
      <w:r w:rsidR="00FE62AA" w:rsidRPr="007C0ACA">
        <w:t xml:space="preserve"> conformations. </w:t>
      </w:r>
    </w:p>
    <w:p w14:paraId="44BA37D3" w14:textId="78DECD3B" w:rsidR="002D317F" w:rsidRPr="007C0ACA" w:rsidRDefault="0001156B" w:rsidP="00C66A7E">
      <w:pPr>
        <w:spacing w:line="276" w:lineRule="auto"/>
        <w:ind w:firstLine="720"/>
        <w:jc w:val="both"/>
      </w:pPr>
      <w:bookmarkStart w:id="11" w:name="_Hlk29977785"/>
      <w:bookmarkEnd w:id="10"/>
      <w:r w:rsidRPr="007C0ACA">
        <w:t>In general</w:t>
      </w:r>
      <w:r w:rsidR="002D317F" w:rsidRPr="007C0ACA">
        <w:t xml:space="preserve">, fluctuations </w:t>
      </w:r>
      <w:r w:rsidRPr="007C0ACA">
        <w:t xml:space="preserve">observed </w:t>
      </w:r>
      <w:r w:rsidR="002D317F" w:rsidRPr="007C0ACA">
        <w:t xml:space="preserve">are larger in the </w:t>
      </w:r>
      <w:r w:rsidR="002D317F" w:rsidRPr="007C0ACA">
        <w:rPr>
          <w:i/>
        </w:rPr>
        <w:t>active</w:t>
      </w:r>
      <w:r w:rsidR="002D317F" w:rsidRPr="007C0ACA">
        <w:t xml:space="preserve"> complexes</w:t>
      </w:r>
      <w:r w:rsidRPr="007C0ACA">
        <w:t xml:space="preserve"> either when bound to the activator or to the inhibitor</w:t>
      </w:r>
      <w:r w:rsidR="002D317F" w:rsidRPr="007C0ACA">
        <w:t xml:space="preserve">. This difference is a consequence of the separation of the </w:t>
      </w:r>
      <w:r w:rsidR="002D317F" w:rsidRPr="007C0ACA">
        <w:rPr>
          <w:i/>
        </w:rPr>
        <w:t>latch</w:t>
      </w:r>
      <w:r w:rsidR="002D317F" w:rsidRPr="007C0ACA">
        <w:t xml:space="preserve"> domain from the </w:t>
      </w:r>
      <w:r w:rsidR="002D317F" w:rsidRPr="007C0ACA">
        <w:rPr>
          <w:i/>
        </w:rPr>
        <w:t>core</w:t>
      </w:r>
      <w:r w:rsidR="002D317F" w:rsidRPr="007C0ACA">
        <w:t xml:space="preserve"> domain, since the absence of α6 produces an increase of fluctuations due to the additional </w:t>
      </w:r>
      <w:r w:rsidRPr="007C0ACA">
        <w:t xml:space="preserve">conformational </w:t>
      </w:r>
      <w:r w:rsidR="002D317F" w:rsidRPr="007C0ACA">
        <w:t xml:space="preserve">sampling of the free space available. </w:t>
      </w:r>
      <w:r w:rsidR="00053CB4" w:rsidRPr="007C0ACA">
        <w:t xml:space="preserve">In addition, the </w:t>
      </w:r>
      <w:r w:rsidR="00053CB4" w:rsidRPr="007C0ACA">
        <w:rPr>
          <w:i/>
        </w:rPr>
        <w:t>inactive</w:t>
      </w:r>
      <w:r w:rsidR="00053CB4" w:rsidRPr="007C0ACA">
        <w:t xml:space="preserve"> conformation is stabilised by a hydrogen bond between D90 and R42 </w:t>
      </w:r>
      <w:r w:rsidR="00AC1842" w:rsidRPr="007C0ACA">
        <w:t xml:space="preserve">crosslinking </w:t>
      </w:r>
      <w:r w:rsidR="00053CB4" w:rsidRPr="007C0ACA">
        <w:t>heli</w:t>
      </w:r>
      <w:r w:rsidR="00AC1842" w:rsidRPr="007C0ACA">
        <w:t>ces</w:t>
      </w:r>
      <w:r w:rsidR="00053CB4" w:rsidRPr="007C0ACA">
        <w:t xml:space="preserve"> α</w:t>
      </w:r>
      <w:r w:rsidR="00AC1842" w:rsidRPr="007C0ACA">
        <w:t>1</w:t>
      </w:r>
      <w:r w:rsidR="00053CB4" w:rsidRPr="007C0ACA">
        <w:t xml:space="preserve"> </w:t>
      </w:r>
      <w:r w:rsidR="00AC1842" w:rsidRPr="007C0ACA">
        <w:t xml:space="preserve">and α3 </w:t>
      </w:r>
      <w:r w:rsidR="00053CB4" w:rsidRPr="007C0ACA">
        <w:t xml:space="preserve">that disappears in the </w:t>
      </w:r>
      <w:r w:rsidR="00053CB4" w:rsidRPr="007C0ACA">
        <w:rPr>
          <w:i/>
        </w:rPr>
        <w:t>active</w:t>
      </w:r>
      <w:r w:rsidR="00053CB4" w:rsidRPr="007C0ACA">
        <w:t xml:space="preserve"> </w:t>
      </w:r>
      <w:r w:rsidR="00AC1842" w:rsidRPr="007C0ACA">
        <w:t>form</w:t>
      </w:r>
      <w:r w:rsidR="00053CB4" w:rsidRPr="007C0ACA">
        <w:t>.</w:t>
      </w:r>
      <w:r w:rsidR="00AC1842" w:rsidRPr="007C0ACA">
        <w:t xml:space="preserve"> </w:t>
      </w:r>
      <w:r w:rsidR="00D8456D" w:rsidRPr="007C0ACA">
        <w:t>Moreover</w:t>
      </w:r>
      <w:r w:rsidR="00AC1842" w:rsidRPr="007C0ACA">
        <w:t>,</w:t>
      </w:r>
      <w:r w:rsidR="00D8456D" w:rsidRPr="007C0ACA">
        <w:t xml:space="preserve"> in</w:t>
      </w:r>
      <w:r w:rsidR="00AC1842" w:rsidRPr="007C0ACA">
        <w:t xml:space="preserve"> </w:t>
      </w:r>
      <w:r w:rsidR="00D8456D" w:rsidRPr="007C0ACA">
        <w:t xml:space="preserve">the inhibitor bound complex </w:t>
      </w:r>
      <w:r w:rsidR="00AC1842" w:rsidRPr="007C0ACA">
        <w:t xml:space="preserve">this interaction </w:t>
      </w:r>
      <w:r w:rsidR="00D8456D" w:rsidRPr="007C0ACA">
        <w:t>is replaced</w:t>
      </w:r>
      <w:r w:rsidR="00AC1842" w:rsidRPr="007C0ACA">
        <w:t xml:space="preserve"> </w:t>
      </w:r>
      <w:r w:rsidR="00D8456D" w:rsidRPr="007C0ACA">
        <w:t>by</w:t>
      </w:r>
      <w:r w:rsidR="00AC1842" w:rsidRPr="007C0ACA">
        <w:t xml:space="preserve"> a hydrogen bond between 9R1 155 in Bim(h3Pc) and R42 in Bak</w:t>
      </w:r>
      <w:r w:rsidR="00D8456D" w:rsidRPr="007C0ACA">
        <w:t>, breaking the crosslinking between helices α1 and α3</w:t>
      </w:r>
      <w:r w:rsidR="00AC1842" w:rsidRPr="007C0ACA">
        <w:t>.</w:t>
      </w:r>
      <w:r w:rsidR="00D8456D" w:rsidRPr="007C0ACA">
        <w:t xml:space="preserve"> To get further insight, </w:t>
      </w:r>
      <w:r w:rsidR="002D317F" w:rsidRPr="007C0ACA">
        <w:t xml:space="preserve">we computed the average residence time of several hydrogen bonds between diverse Bak residues and 9R1 155 in Bim(h3Pc) in </w:t>
      </w:r>
      <w:r w:rsidR="00DA57CC" w:rsidRPr="007C0ACA">
        <w:t xml:space="preserve">both, </w:t>
      </w:r>
      <w:r w:rsidR="002D317F" w:rsidRPr="007C0ACA">
        <w:t xml:space="preserve">the </w:t>
      </w:r>
      <w:r w:rsidR="002D317F" w:rsidRPr="007C0ACA">
        <w:rPr>
          <w:i/>
        </w:rPr>
        <w:t>inactive</w:t>
      </w:r>
      <w:r w:rsidR="002D317F" w:rsidRPr="007C0ACA">
        <w:t xml:space="preserve"> and </w:t>
      </w:r>
      <w:r w:rsidR="002D317F" w:rsidRPr="007C0ACA">
        <w:rPr>
          <w:i/>
        </w:rPr>
        <w:t>active</w:t>
      </w:r>
      <w:r w:rsidR="002D317F" w:rsidRPr="007C0ACA">
        <w:t xml:space="preserve"> complexes (Table 1). Analysis of Table 1 reveals that most of the hydrogen bonds have similar residence times, except for the one </w:t>
      </w:r>
      <w:r w:rsidR="00DA57CC" w:rsidRPr="007C0ACA">
        <w:t>involving</w:t>
      </w:r>
      <w:r w:rsidR="002D317F" w:rsidRPr="007C0ACA">
        <w:t xml:space="preserve"> residue N86 </w:t>
      </w:r>
      <w:r w:rsidR="00DA57CC" w:rsidRPr="007C0ACA">
        <w:t>in Bak that it does not occur</w:t>
      </w:r>
      <w:r w:rsidR="002D317F" w:rsidRPr="007C0ACA">
        <w:t xml:space="preserve"> in the </w:t>
      </w:r>
      <w:r w:rsidR="002D317F" w:rsidRPr="007C0ACA">
        <w:rPr>
          <w:i/>
        </w:rPr>
        <w:t>active</w:t>
      </w:r>
      <w:r w:rsidR="002D317F" w:rsidRPr="007C0ACA">
        <w:t xml:space="preserve"> conformation. </w:t>
      </w:r>
      <w:r w:rsidR="00C66A7E" w:rsidRPr="007C0ACA">
        <w:t xml:space="preserve">These fluctuations difference between the activator and the inhibitor explains the feasibility </w:t>
      </w:r>
      <w:r w:rsidR="009A4639" w:rsidRPr="007C0ACA">
        <w:t>for</w:t>
      </w:r>
      <w:r w:rsidR="00C66A7E" w:rsidRPr="007C0ACA">
        <w:t xml:space="preserve"> subsequent conformational changes needed for complete Bak activation</w:t>
      </w:r>
      <w:bookmarkEnd w:id="11"/>
      <w:r w:rsidR="00C66A7E" w:rsidRPr="007C0ACA">
        <w:t xml:space="preserve">. </w:t>
      </w:r>
    </w:p>
    <w:p w14:paraId="7E6E0DFA" w14:textId="5B37901B" w:rsidR="00DE1BE8" w:rsidRPr="007C0ACA" w:rsidRDefault="00DE1BE8" w:rsidP="00DE1BE8">
      <w:pPr>
        <w:pStyle w:val="Ttol3"/>
        <w:spacing w:line="276" w:lineRule="auto"/>
      </w:pPr>
      <w:bookmarkStart w:id="12" w:name="_Toc518637944"/>
      <w:r w:rsidRPr="007C0ACA">
        <w:t>Binding Free Energy of the Complexes</w:t>
      </w:r>
      <w:bookmarkEnd w:id="12"/>
    </w:p>
    <w:p w14:paraId="5F1B1C3D" w14:textId="5EF276AA" w:rsidR="00DE1BE8" w:rsidRPr="007C0ACA" w:rsidRDefault="002E2056" w:rsidP="00C55071">
      <w:pPr>
        <w:spacing w:line="276" w:lineRule="auto"/>
        <w:ind w:firstLine="720"/>
        <w:jc w:val="both"/>
      </w:pPr>
      <w:r w:rsidRPr="007C0ACA">
        <w:t>B</w:t>
      </w:r>
      <w:r w:rsidR="00DE1BE8" w:rsidRPr="007C0ACA">
        <w:t xml:space="preserve">inding free energy was </w:t>
      </w:r>
      <w:r w:rsidRPr="007C0ACA">
        <w:t>computed</w:t>
      </w:r>
      <w:r w:rsidR="00DE1BE8" w:rsidRPr="007C0ACA">
        <w:t xml:space="preserve"> </w:t>
      </w:r>
      <w:r w:rsidRPr="007C0ACA">
        <w:t>using</w:t>
      </w:r>
      <w:r w:rsidR="00DE1BE8" w:rsidRPr="007C0ACA">
        <w:t xml:space="preserve"> MMPBSA </w:t>
      </w:r>
      <w:r w:rsidRPr="007C0ACA">
        <w:t>and</w:t>
      </w:r>
      <w:r w:rsidR="00DE1BE8" w:rsidRPr="007C0ACA">
        <w:t xml:space="preserve"> MMGBSA approaches for all the complexes </w:t>
      </w:r>
      <w:r w:rsidR="00FB46F4" w:rsidRPr="007C0ACA">
        <w:t xml:space="preserve">along </w:t>
      </w:r>
      <w:r w:rsidR="00DE1BE8" w:rsidRPr="007C0ACA">
        <w:t xml:space="preserve">the trajectory to determine the convergence of the different </w:t>
      </w:r>
      <w:r w:rsidR="00FB46F4" w:rsidRPr="007C0ACA">
        <w:t>traje</w:t>
      </w:r>
      <w:r w:rsidR="00192787" w:rsidRPr="007C0ACA">
        <w:t>c</w:t>
      </w:r>
      <w:r w:rsidR="00FB46F4" w:rsidRPr="007C0ACA">
        <w:t>tories</w:t>
      </w:r>
      <w:r w:rsidR="00954A74" w:rsidRPr="007C0ACA">
        <w:t xml:space="preserve">, </w:t>
      </w:r>
      <w:r w:rsidR="0007647D" w:rsidRPr="007C0ACA">
        <w:t>their</w:t>
      </w:r>
      <w:r w:rsidR="00DE1BE8" w:rsidRPr="007C0ACA">
        <w:t xml:space="preserve"> stability in terms of </w:t>
      </w:r>
      <w:r w:rsidR="00954A74" w:rsidRPr="007C0ACA">
        <w:t xml:space="preserve">binding </w:t>
      </w:r>
      <w:r w:rsidR="00DE1BE8" w:rsidRPr="007C0ACA">
        <w:t>energy</w:t>
      </w:r>
      <w:r w:rsidR="00954A74" w:rsidRPr="007C0ACA">
        <w:t xml:space="preserve"> and </w:t>
      </w:r>
      <w:r w:rsidR="00DE1BE8" w:rsidRPr="007C0ACA">
        <w:t xml:space="preserve">to </w:t>
      </w:r>
      <w:r w:rsidR="00FB46F4" w:rsidRPr="007C0ACA">
        <w:t>carry out</w:t>
      </w:r>
      <w:r w:rsidR="00DE1BE8" w:rsidRPr="007C0ACA">
        <w:t xml:space="preserve"> a more exhaustive analysis </w:t>
      </w:r>
      <w:r w:rsidR="00FB46F4" w:rsidRPr="007C0ACA">
        <w:t>using</w:t>
      </w:r>
      <w:r w:rsidR="00DE1BE8" w:rsidRPr="007C0ACA">
        <w:t xml:space="preserve"> the last nanoseconds of the simulations. As it can be seen in Figure</w:t>
      </w:r>
      <w:r w:rsidR="00FB46F4" w:rsidRPr="007C0ACA">
        <w:t>s</w:t>
      </w:r>
      <w:r w:rsidR="00DE1BE8" w:rsidRPr="007C0ACA">
        <w:t xml:space="preserve"> </w:t>
      </w:r>
      <w:r w:rsidR="004166DE" w:rsidRPr="007C0ACA">
        <w:t>S1</w:t>
      </w:r>
      <w:r w:rsidR="00DE1BE8" w:rsidRPr="007C0ACA">
        <w:t xml:space="preserve"> and </w:t>
      </w:r>
      <w:r w:rsidR="004166DE" w:rsidRPr="007C0ACA">
        <w:t>S2</w:t>
      </w:r>
      <w:r w:rsidR="00DE1BE8" w:rsidRPr="007C0ACA">
        <w:t xml:space="preserve">, </w:t>
      </w:r>
      <w:r w:rsidR="00FB46F4" w:rsidRPr="007C0ACA">
        <w:t>the diverse</w:t>
      </w:r>
      <w:r w:rsidR="00DE1BE8" w:rsidRPr="007C0ACA">
        <w:t xml:space="preserve"> complexes have different </w:t>
      </w:r>
      <w:r w:rsidR="00DE1BE8" w:rsidRPr="007C0ACA">
        <w:rPr>
          <w:rFonts w:cstheme="minorHAnsi"/>
        </w:rPr>
        <w:t>∆</w:t>
      </w:r>
      <w:r w:rsidR="00DE1BE8" w:rsidRPr="007C0ACA">
        <w:t>G</w:t>
      </w:r>
      <w:r w:rsidR="00DE1BE8" w:rsidRPr="007C0ACA">
        <w:rPr>
          <w:vertAlign w:val="subscript"/>
        </w:rPr>
        <w:t>binding</w:t>
      </w:r>
      <w:r w:rsidR="00DE1BE8" w:rsidRPr="007C0ACA">
        <w:t xml:space="preserve"> along the </w:t>
      </w:r>
      <w:r w:rsidR="00FB46F4" w:rsidRPr="007C0ACA">
        <w:t>trajectory</w:t>
      </w:r>
      <w:r w:rsidR="00DE1BE8" w:rsidRPr="007C0ACA">
        <w:t xml:space="preserve">. Complexes between Bak and BH3 peptides have a similar </w:t>
      </w:r>
      <w:r w:rsidR="00DE1BE8" w:rsidRPr="007C0ACA">
        <w:rPr>
          <w:rFonts w:cstheme="minorHAnsi"/>
        </w:rPr>
        <w:t>∆</w:t>
      </w:r>
      <w:r w:rsidR="00DE1BE8" w:rsidRPr="007C0ACA">
        <w:t>G</w:t>
      </w:r>
      <w:r w:rsidR="00DE1BE8" w:rsidRPr="007C0ACA">
        <w:rPr>
          <w:vertAlign w:val="subscript"/>
        </w:rPr>
        <w:t>binding</w:t>
      </w:r>
      <w:r w:rsidR="00DE1BE8" w:rsidRPr="007C0ACA">
        <w:t xml:space="preserve">, with values between </w:t>
      </w:r>
      <w:r w:rsidR="00C14DEB" w:rsidRPr="007C0ACA">
        <w:t>-</w:t>
      </w:r>
      <w:r w:rsidR="00DE1BE8" w:rsidRPr="007C0ACA">
        <w:t>90</w:t>
      </w:r>
      <w:r w:rsidR="008C418A" w:rsidRPr="007C0ACA">
        <w:t xml:space="preserve"> and </w:t>
      </w:r>
      <w:r w:rsidR="00C14DEB" w:rsidRPr="007C0ACA">
        <w:t>-</w:t>
      </w:r>
      <w:r w:rsidR="00DE1BE8" w:rsidRPr="007C0ACA">
        <w:t xml:space="preserve">100 kcal/mol. However, </w:t>
      </w:r>
      <w:r w:rsidR="00FB46F4" w:rsidRPr="007C0ACA">
        <w:t xml:space="preserve">the </w:t>
      </w:r>
      <w:r w:rsidR="00DE1BE8" w:rsidRPr="007C0ACA">
        <w:t xml:space="preserve">Bak/Bim(h3Pc) complex </w:t>
      </w:r>
      <w:r w:rsidR="00FB46F4" w:rsidRPr="007C0ACA">
        <w:t>exhibits</w:t>
      </w:r>
      <w:r w:rsidR="00DE1BE8" w:rsidRPr="007C0ACA">
        <w:t xml:space="preserve"> a more negative </w:t>
      </w:r>
      <w:r w:rsidR="00DE1BE8" w:rsidRPr="007C0ACA">
        <w:rPr>
          <w:rFonts w:cstheme="minorHAnsi"/>
        </w:rPr>
        <w:t>∆</w:t>
      </w:r>
      <w:r w:rsidR="00DE1BE8" w:rsidRPr="007C0ACA">
        <w:t>G</w:t>
      </w:r>
      <w:r w:rsidR="00DE1BE8" w:rsidRPr="007C0ACA">
        <w:rPr>
          <w:vertAlign w:val="subscript"/>
        </w:rPr>
        <w:t>binding</w:t>
      </w:r>
      <w:r w:rsidR="00DE1BE8" w:rsidRPr="007C0ACA">
        <w:t xml:space="preserve">, around </w:t>
      </w:r>
      <w:r w:rsidR="00DF4F17" w:rsidRPr="007C0ACA">
        <w:t>-</w:t>
      </w:r>
      <w:r w:rsidR="00DE1BE8" w:rsidRPr="007C0ACA">
        <w:t xml:space="preserve">140 kcal/mol. This increased </w:t>
      </w:r>
      <w:r w:rsidR="00DE1BE8" w:rsidRPr="007C0ACA">
        <w:rPr>
          <w:rFonts w:cstheme="minorHAnsi"/>
        </w:rPr>
        <w:t>∆</w:t>
      </w:r>
      <w:r w:rsidR="00DE1BE8" w:rsidRPr="007C0ACA">
        <w:t>G</w:t>
      </w:r>
      <w:r w:rsidR="00DE1BE8" w:rsidRPr="007C0ACA">
        <w:rPr>
          <w:vertAlign w:val="subscript"/>
        </w:rPr>
        <w:t>binding</w:t>
      </w:r>
      <w:r w:rsidR="00DE1BE8" w:rsidRPr="007C0ACA">
        <w:t xml:space="preserve"> </w:t>
      </w:r>
      <w:r w:rsidR="00FB46F4" w:rsidRPr="007C0ACA">
        <w:t>suggests</w:t>
      </w:r>
      <w:r w:rsidR="00DE1BE8" w:rsidRPr="007C0ACA">
        <w:t xml:space="preserve"> a higher stability of the complex, </w:t>
      </w:r>
      <w:r w:rsidR="00FB46F4" w:rsidRPr="007C0ACA">
        <w:t>preventing</w:t>
      </w:r>
      <w:r w:rsidR="00DE1BE8" w:rsidRPr="007C0ACA">
        <w:t xml:space="preserve"> the dissociation of the BH3 peptide from Bak.  </w:t>
      </w:r>
    </w:p>
    <w:p w14:paraId="2E174A12" w14:textId="08001D1E" w:rsidR="00DE1BE8" w:rsidRPr="007C0ACA" w:rsidRDefault="00DE1BE8" w:rsidP="00C55071">
      <w:pPr>
        <w:spacing w:line="276" w:lineRule="auto"/>
        <w:ind w:firstLine="720"/>
        <w:jc w:val="both"/>
      </w:pPr>
      <w:r w:rsidRPr="007C0ACA">
        <w:t xml:space="preserve">Table 2 </w:t>
      </w:r>
      <w:r w:rsidR="00FB46F4" w:rsidRPr="007C0ACA">
        <w:t>lists a</w:t>
      </w:r>
      <w:r w:rsidRPr="007C0ACA">
        <w:t xml:space="preserve"> detailed </w:t>
      </w:r>
      <w:r w:rsidR="00FB46F4" w:rsidRPr="007C0ACA">
        <w:t xml:space="preserve">decomposition of the </w:t>
      </w:r>
      <w:r w:rsidRPr="007C0ACA">
        <w:t xml:space="preserve">binding free energy </w:t>
      </w:r>
      <w:r w:rsidR="00FB46F4" w:rsidRPr="007C0ACA">
        <w:t>computed</w:t>
      </w:r>
      <w:r w:rsidRPr="007C0ACA">
        <w:t xml:space="preserve"> using the MMPBSA and </w:t>
      </w:r>
      <w:r w:rsidR="00FB46F4" w:rsidRPr="007C0ACA">
        <w:t xml:space="preserve">the </w:t>
      </w:r>
      <w:r w:rsidRPr="007C0ACA">
        <w:t xml:space="preserve">MMGBSA approaches for the </w:t>
      </w:r>
      <w:r w:rsidR="00FB46F4" w:rsidRPr="007C0ACA">
        <w:t>diverse</w:t>
      </w:r>
      <w:r w:rsidRPr="007C0ACA">
        <w:t xml:space="preserve"> complexes </w:t>
      </w:r>
      <w:r w:rsidR="00FB46F4" w:rsidRPr="007C0ACA">
        <w:t>using</w:t>
      </w:r>
      <w:r w:rsidRPr="007C0ACA">
        <w:t xml:space="preserve"> the last 50</w:t>
      </w:r>
      <w:r w:rsidR="00E231CA" w:rsidRPr="007C0ACA">
        <w:t xml:space="preserve"> </w:t>
      </w:r>
      <w:r w:rsidRPr="007C0ACA">
        <w:t xml:space="preserve">ns of the </w:t>
      </w:r>
      <w:r w:rsidR="00FB46F4" w:rsidRPr="007C0ACA">
        <w:t xml:space="preserve">corresponding </w:t>
      </w:r>
      <w:r w:rsidRPr="007C0ACA">
        <w:t xml:space="preserve">MD </w:t>
      </w:r>
      <w:r w:rsidR="00FB46F4" w:rsidRPr="007C0ACA">
        <w:t>trajectories</w:t>
      </w:r>
      <w:r w:rsidRPr="007C0ACA">
        <w:t>. As it can be seen, van der Waals contribution (</w:t>
      </w:r>
      <w:r w:rsidRPr="007C0ACA">
        <w:rPr>
          <w:rFonts w:cstheme="minorHAnsi"/>
        </w:rPr>
        <w:t>∆</w:t>
      </w:r>
      <w:r w:rsidRPr="007C0ACA">
        <w:t>H</w:t>
      </w:r>
      <w:r w:rsidRPr="007C0ACA">
        <w:rPr>
          <w:vertAlign w:val="subscript"/>
        </w:rPr>
        <w:t>vdW</w:t>
      </w:r>
      <w:r w:rsidRPr="007C0ACA">
        <w:t xml:space="preserve">) is </w:t>
      </w:r>
      <w:r w:rsidR="000D7D67" w:rsidRPr="007C0ACA">
        <w:t>notably</w:t>
      </w:r>
      <w:r w:rsidRPr="007C0ACA">
        <w:t xml:space="preserve"> important </w:t>
      </w:r>
      <w:r w:rsidR="000D7D67" w:rsidRPr="007C0ACA">
        <w:t xml:space="preserve">to </w:t>
      </w:r>
      <w:r w:rsidR="00E231CA" w:rsidRPr="007C0ACA">
        <w:t>favour</w:t>
      </w:r>
      <w:r w:rsidRPr="007C0ACA">
        <w:t xml:space="preserve"> binding. It is </w:t>
      </w:r>
      <w:r w:rsidR="0057351C" w:rsidRPr="007C0ACA">
        <w:t>important to mention</w:t>
      </w:r>
      <w:r w:rsidRPr="007C0ACA">
        <w:t xml:space="preserve"> that total electrostatic contribution (</w:t>
      </w:r>
      <w:r w:rsidRPr="007C0ACA">
        <w:rPr>
          <w:rFonts w:cstheme="minorHAnsi"/>
        </w:rPr>
        <w:t>∆</w:t>
      </w:r>
      <w:r w:rsidRPr="007C0ACA">
        <w:t>H</w:t>
      </w:r>
      <w:r w:rsidRPr="007C0ACA">
        <w:rPr>
          <w:vertAlign w:val="subscript"/>
        </w:rPr>
        <w:t>ee</w:t>
      </w:r>
      <w:r w:rsidRPr="007C0ACA">
        <w:t xml:space="preserve"> + </w:t>
      </w:r>
      <w:r w:rsidRPr="007C0ACA">
        <w:rPr>
          <w:rFonts w:cstheme="minorHAnsi"/>
        </w:rPr>
        <w:t>∆</w:t>
      </w:r>
      <w:r w:rsidRPr="007C0ACA">
        <w:t>G</w:t>
      </w:r>
      <w:r w:rsidRPr="007C0ACA">
        <w:rPr>
          <w:vertAlign w:val="subscript"/>
        </w:rPr>
        <w:t>polar</w:t>
      </w:r>
      <w:r w:rsidRPr="007C0ACA">
        <w:t xml:space="preserve">), regardless of the approach used, is unfavourable for the binding of all complexes, </w:t>
      </w:r>
      <w:r w:rsidR="0057351C" w:rsidRPr="007C0ACA">
        <w:t>which underlines the importance of</w:t>
      </w:r>
      <w:r w:rsidRPr="007C0ACA">
        <w:t xml:space="preserve"> the </w:t>
      </w:r>
      <w:r w:rsidRPr="007C0ACA">
        <w:rPr>
          <w:rFonts w:cstheme="minorHAnsi"/>
        </w:rPr>
        <w:t>∆</w:t>
      </w:r>
      <w:r w:rsidRPr="007C0ACA">
        <w:t>H</w:t>
      </w:r>
      <w:r w:rsidRPr="007C0ACA">
        <w:rPr>
          <w:vertAlign w:val="subscript"/>
        </w:rPr>
        <w:t>vdW</w:t>
      </w:r>
      <w:r w:rsidRPr="007C0ACA">
        <w:t xml:space="preserve"> </w:t>
      </w:r>
      <w:r w:rsidR="0057351C" w:rsidRPr="007C0ACA">
        <w:t>contribution</w:t>
      </w:r>
      <w:r w:rsidRPr="007C0ACA">
        <w:t xml:space="preserve">. </w:t>
      </w:r>
      <w:r w:rsidR="003B5016" w:rsidRPr="007C0ACA">
        <w:t>On the other hand, t</w:t>
      </w:r>
      <w:r w:rsidR="007A530F" w:rsidRPr="007C0ACA">
        <w:t>he entropic contribution to the binding energy i</w:t>
      </w:r>
      <w:r w:rsidR="00957F1E" w:rsidRPr="007C0ACA">
        <w:t>s</w:t>
      </w:r>
      <w:r w:rsidR="007A530F" w:rsidRPr="007C0ACA">
        <w:t xml:space="preserve"> similar for all the complexes</w:t>
      </w:r>
      <w:r w:rsidR="00D75265" w:rsidRPr="007C0ACA">
        <w:t xml:space="preserve"> studied</w:t>
      </w:r>
      <w:r w:rsidR="007A530F" w:rsidRPr="007C0ACA">
        <w:t xml:space="preserve">. However, its contribution </w:t>
      </w:r>
      <w:r w:rsidR="00F316F7" w:rsidRPr="007C0ACA">
        <w:t>in the case of</w:t>
      </w:r>
      <w:r w:rsidR="007A530F" w:rsidRPr="007C0ACA">
        <w:t xml:space="preserve"> the inhibitor system, Bak/Bim(h3Pc), </w:t>
      </w:r>
      <w:r w:rsidRPr="007C0ACA">
        <w:t xml:space="preserve">is higher than </w:t>
      </w:r>
      <w:r w:rsidR="007A530F" w:rsidRPr="007C0ACA">
        <w:t xml:space="preserve">the corresponding </w:t>
      </w:r>
      <w:r w:rsidR="00F316F7" w:rsidRPr="007C0ACA">
        <w:t xml:space="preserve">to the </w:t>
      </w:r>
      <w:r w:rsidR="007A530F" w:rsidRPr="007C0ACA">
        <w:t xml:space="preserve">Bak/Bim activators, for both the </w:t>
      </w:r>
      <w:r w:rsidR="007A530F" w:rsidRPr="007C0ACA">
        <w:rPr>
          <w:i/>
        </w:rPr>
        <w:t>active</w:t>
      </w:r>
      <w:r w:rsidR="007A530F" w:rsidRPr="007C0ACA">
        <w:t xml:space="preserve"> and the </w:t>
      </w:r>
      <w:r w:rsidR="007A530F" w:rsidRPr="007C0ACA">
        <w:rPr>
          <w:i/>
        </w:rPr>
        <w:t>inactive</w:t>
      </w:r>
      <w:r w:rsidR="007A530F" w:rsidRPr="007C0ACA">
        <w:t xml:space="preserve"> complexes</w:t>
      </w:r>
      <w:r w:rsidRPr="007C0ACA">
        <w:t>.</w:t>
      </w:r>
      <w:r w:rsidR="00BE0FC3" w:rsidRPr="007C0ACA">
        <w:t xml:space="preserve"> </w:t>
      </w:r>
      <w:r w:rsidR="00F316F7" w:rsidRPr="007C0ACA">
        <w:t>This suggests</w:t>
      </w:r>
      <w:r w:rsidR="00BE0FC3" w:rsidRPr="007C0ACA">
        <w:t xml:space="preserve"> that the introduction of non-natural amino acids is not important in terms of the entropic </w:t>
      </w:r>
      <w:r w:rsidR="00BA1C55" w:rsidRPr="007C0ACA">
        <w:t xml:space="preserve">contribution to the binding energy. </w:t>
      </w:r>
      <w:r w:rsidR="00BE0FC3" w:rsidRPr="007C0ACA">
        <w:t xml:space="preserve"> </w:t>
      </w:r>
    </w:p>
    <w:p w14:paraId="4E815C52" w14:textId="1080E69D" w:rsidR="00DE1BE8" w:rsidRPr="007C0ACA" w:rsidRDefault="00F316F7" w:rsidP="00C55071">
      <w:pPr>
        <w:spacing w:line="276" w:lineRule="auto"/>
        <w:ind w:firstLine="720"/>
        <w:jc w:val="both"/>
      </w:pPr>
      <w:r w:rsidRPr="007C0ACA">
        <w:t xml:space="preserve">The most </w:t>
      </w:r>
      <w:r w:rsidR="00DE1BE8" w:rsidRPr="007C0ACA">
        <w:t xml:space="preserve">significant </w:t>
      </w:r>
      <w:r w:rsidRPr="007C0ACA">
        <w:t xml:space="preserve">result of these calculations </w:t>
      </w:r>
      <w:r w:rsidR="00DE1BE8" w:rsidRPr="007C0ACA">
        <w:t xml:space="preserve">is </w:t>
      </w:r>
      <w:r w:rsidR="00E231CA" w:rsidRPr="007C0ACA">
        <w:t xml:space="preserve">the </w:t>
      </w:r>
      <w:r w:rsidRPr="007C0ACA">
        <w:t>higher binding free energy of</w:t>
      </w:r>
      <w:r w:rsidR="00DE1BE8" w:rsidRPr="007C0ACA">
        <w:t xml:space="preserve"> the Bak/Bim(h3Pc) </w:t>
      </w:r>
      <w:r w:rsidRPr="007C0ACA">
        <w:t xml:space="preserve">complex </w:t>
      </w:r>
      <w:r w:rsidR="00DE1BE8" w:rsidRPr="007C0ACA">
        <w:t xml:space="preserve">in comparison </w:t>
      </w:r>
      <w:r w:rsidRPr="007C0ACA">
        <w:t>to</w:t>
      </w:r>
      <w:r w:rsidR="00DE1BE8" w:rsidRPr="007C0ACA">
        <w:t xml:space="preserve"> the </w:t>
      </w:r>
      <w:r w:rsidRPr="007C0ACA">
        <w:t>rest</w:t>
      </w:r>
      <w:r w:rsidR="00DE1BE8" w:rsidRPr="007C0ACA">
        <w:t xml:space="preserve">. This difference </w:t>
      </w:r>
      <w:r w:rsidRPr="007C0ACA">
        <w:t>is</w:t>
      </w:r>
      <w:r w:rsidR="00DE1BE8" w:rsidRPr="007C0ACA">
        <w:t xml:space="preserve"> due to the presence of the 9R1 residue in Bim(h3Pc), which contributes </w:t>
      </w:r>
      <w:r w:rsidRPr="007C0ACA">
        <w:t>to increase</w:t>
      </w:r>
      <w:r w:rsidR="00DE1BE8" w:rsidRPr="007C0ACA">
        <w:t xml:space="preserve"> substantially the electrostatic term, which results in this increased </w:t>
      </w:r>
      <w:r w:rsidR="00DE1BE8" w:rsidRPr="007C0ACA">
        <w:rPr>
          <w:rFonts w:cstheme="minorHAnsi"/>
        </w:rPr>
        <w:t>∆</w:t>
      </w:r>
      <w:r w:rsidR="00DE1BE8" w:rsidRPr="007C0ACA">
        <w:t>G</w:t>
      </w:r>
      <w:r w:rsidR="00DE1BE8" w:rsidRPr="007C0ACA">
        <w:rPr>
          <w:vertAlign w:val="subscript"/>
        </w:rPr>
        <w:t>Total</w:t>
      </w:r>
      <w:r w:rsidR="00DE1BE8" w:rsidRPr="007C0ACA">
        <w:t xml:space="preserve">. This phenomenon can be </w:t>
      </w:r>
      <w:r w:rsidRPr="007C0ACA">
        <w:t xml:space="preserve">also </w:t>
      </w:r>
      <w:r w:rsidR="00DE1BE8" w:rsidRPr="007C0ACA">
        <w:t xml:space="preserve">observed in the </w:t>
      </w:r>
      <w:r w:rsidR="00DE1BE8" w:rsidRPr="007C0ACA">
        <w:rPr>
          <w:i/>
        </w:rPr>
        <w:t>active</w:t>
      </w:r>
      <w:r w:rsidR="00DE1BE8" w:rsidRPr="007C0ACA">
        <w:t xml:space="preserve"> conformations, in which </w:t>
      </w:r>
      <w:r w:rsidR="00DE1BE8" w:rsidRPr="007C0ACA">
        <w:lastRenderedPageBreak/>
        <w:t xml:space="preserve">Bim(h3Pc) total free binding energy is 20 kcal/mol higher than </w:t>
      </w:r>
      <w:r w:rsidR="00E231CA" w:rsidRPr="007C0ACA">
        <w:t xml:space="preserve">that of </w:t>
      </w:r>
      <w:r w:rsidR="00DE1BE8" w:rsidRPr="007C0ACA">
        <w:t xml:space="preserve">Bim. In the case of Bak/Bid and Bak/Bim, </w:t>
      </w:r>
      <w:r w:rsidRPr="007C0ACA">
        <w:t xml:space="preserve">the </w:t>
      </w:r>
      <w:r w:rsidR="00DE1BE8" w:rsidRPr="007C0ACA">
        <w:t xml:space="preserve">average </w:t>
      </w:r>
      <w:r w:rsidRPr="007C0ACA">
        <w:t>binding</w:t>
      </w:r>
      <w:r w:rsidR="00DE1BE8" w:rsidRPr="007C0ACA">
        <w:rPr>
          <w:rFonts w:cstheme="minorHAnsi"/>
        </w:rPr>
        <w:t xml:space="preserve"> free energy </w:t>
      </w:r>
      <w:r w:rsidRPr="007C0ACA">
        <w:rPr>
          <w:rFonts w:cstheme="minorHAnsi"/>
        </w:rPr>
        <w:t xml:space="preserve">computed during </w:t>
      </w:r>
      <w:r w:rsidR="00DE1BE8" w:rsidRPr="007C0ACA">
        <w:rPr>
          <w:rFonts w:cstheme="minorHAnsi"/>
        </w:rPr>
        <w:t>the last 50</w:t>
      </w:r>
      <w:r w:rsidR="00E231CA" w:rsidRPr="007C0ACA">
        <w:rPr>
          <w:rFonts w:cstheme="minorHAnsi"/>
        </w:rPr>
        <w:t xml:space="preserve"> </w:t>
      </w:r>
      <w:r w:rsidR="00DE1BE8" w:rsidRPr="007C0ACA">
        <w:rPr>
          <w:rFonts w:cstheme="minorHAnsi"/>
        </w:rPr>
        <w:t>ns are similar</w:t>
      </w:r>
      <w:r w:rsidR="00DE1BE8" w:rsidRPr="007C0ACA">
        <w:t xml:space="preserve">. </w:t>
      </w:r>
      <w:r w:rsidRPr="007C0ACA">
        <w:t>S</w:t>
      </w:r>
      <w:r w:rsidR="00BA1C55" w:rsidRPr="007C0ACA">
        <w:t xml:space="preserve">imilar values </w:t>
      </w:r>
      <w:r w:rsidRPr="007C0ACA">
        <w:t>for</w:t>
      </w:r>
      <w:r w:rsidR="00BA1C55" w:rsidRPr="007C0ACA">
        <w:t xml:space="preserve"> </w:t>
      </w:r>
      <w:r w:rsidR="00BA1C55" w:rsidRPr="007C0ACA">
        <w:rPr>
          <w:rFonts w:cstheme="minorHAnsi"/>
        </w:rPr>
        <w:t>∆</w:t>
      </w:r>
      <w:r w:rsidR="00BA1C55" w:rsidRPr="007C0ACA">
        <w:t>G</w:t>
      </w:r>
      <w:r w:rsidR="00BA1C55" w:rsidRPr="007C0ACA">
        <w:rPr>
          <w:vertAlign w:val="subscript"/>
        </w:rPr>
        <w:t>TOTAL</w:t>
      </w:r>
      <w:r w:rsidR="00BA1C55" w:rsidRPr="007C0ACA">
        <w:t xml:space="preserve"> are obtained</w:t>
      </w:r>
      <w:r w:rsidR="00DE1BE8" w:rsidRPr="007C0ACA">
        <w:t xml:space="preserve"> </w:t>
      </w:r>
      <w:r w:rsidRPr="007C0ACA">
        <w:t>in the case of</w:t>
      </w:r>
      <w:r w:rsidR="00DE1BE8" w:rsidRPr="007C0ACA">
        <w:t xml:space="preserve"> </w:t>
      </w:r>
      <w:r w:rsidR="00BA1C55" w:rsidRPr="007C0ACA">
        <w:t xml:space="preserve">the </w:t>
      </w:r>
      <w:r w:rsidR="00DE1BE8" w:rsidRPr="007C0ACA">
        <w:t>Bak/BidAib</w:t>
      </w:r>
      <w:r w:rsidR="00DE1BE8" w:rsidRPr="007C0ACA">
        <w:rPr>
          <w:vertAlign w:val="subscript"/>
        </w:rPr>
        <w:t>2</w:t>
      </w:r>
      <w:r w:rsidR="00BA1C55" w:rsidRPr="007C0ACA">
        <w:t xml:space="preserve"> system</w:t>
      </w:r>
      <w:r w:rsidRPr="007C0ACA">
        <w:t>,</w:t>
      </w:r>
      <w:r w:rsidR="00BA1C55" w:rsidRPr="007C0ACA">
        <w:t xml:space="preserve"> </w:t>
      </w:r>
      <w:r w:rsidR="00DE1BE8" w:rsidRPr="007C0ACA">
        <w:t xml:space="preserve">despite their increased helicogenity due to </w:t>
      </w:r>
      <w:r w:rsidR="00BA1C55" w:rsidRPr="007C0ACA">
        <w:t xml:space="preserve">the presence of the </w:t>
      </w:r>
      <w:r w:rsidR="00DE1BE8" w:rsidRPr="007C0ACA">
        <w:t>Ai</w:t>
      </w:r>
      <w:r w:rsidRPr="007C0ACA">
        <w:t>b</w:t>
      </w:r>
      <w:r w:rsidR="00DE1BE8" w:rsidRPr="007C0ACA">
        <w:t xml:space="preserve"> residues. </w:t>
      </w:r>
    </w:p>
    <w:p w14:paraId="53BF9014" w14:textId="245B91A7" w:rsidR="00DE1BE8" w:rsidRPr="007C0ACA" w:rsidRDefault="00DE1BE8" w:rsidP="00C55071">
      <w:pPr>
        <w:spacing w:line="276" w:lineRule="auto"/>
        <w:ind w:firstLine="720"/>
        <w:jc w:val="both"/>
      </w:pPr>
      <w:r w:rsidRPr="007C0ACA">
        <w:t xml:space="preserve">When comparing </w:t>
      </w:r>
      <w:r w:rsidRPr="007C0ACA">
        <w:rPr>
          <w:i/>
        </w:rPr>
        <w:t>active</w:t>
      </w:r>
      <w:r w:rsidRPr="007C0ACA">
        <w:t xml:space="preserve"> and </w:t>
      </w:r>
      <w:r w:rsidRPr="007C0ACA">
        <w:rPr>
          <w:i/>
        </w:rPr>
        <w:t>inactive</w:t>
      </w:r>
      <w:r w:rsidRPr="007C0ACA">
        <w:t xml:space="preserve"> conformations</w:t>
      </w:r>
      <w:r w:rsidR="005F6975" w:rsidRPr="007C0ACA">
        <w:t xml:space="preserve"> without the entropic contribution</w:t>
      </w:r>
      <w:r w:rsidRPr="007C0ACA">
        <w:t xml:space="preserve">, no significant differences can be </w:t>
      </w:r>
      <w:r w:rsidR="00471D81" w:rsidRPr="007C0ACA">
        <w:t>observed</w:t>
      </w:r>
      <w:r w:rsidR="005F6975" w:rsidRPr="007C0ACA">
        <w:t xml:space="preserve"> in the Bim </w:t>
      </w:r>
      <w:r w:rsidR="00471D81" w:rsidRPr="007C0ACA">
        <w:t>complexes</w:t>
      </w:r>
      <w:r w:rsidRPr="007C0ACA">
        <w:t xml:space="preserve">. </w:t>
      </w:r>
      <w:r w:rsidR="00471D81" w:rsidRPr="007C0ACA">
        <w:t>In the case of the</w:t>
      </w:r>
      <w:r w:rsidR="005F6975" w:rsidRPr="007C0ACA">
        <w:t xml:space="preserve"> inhibitor Bim(h3Pc) systems</w:t>
      </w:r>
      <w:r w:rsidR="00471D81" w:rsidRPr="007C0ACA">
        <w:t>,</w:t>
      </w:r>
      <w:r w:rsidR="005F6975" w:rsidRPr="007C0ACA">
        <w:t xml:space="preserve"> the </w:t>
      </w:r>
      <w:r w:rsidR="005F6975" w:rsidRPr="007C0ACA">
        <w:rPr>
          <w:i/>
        </w:rPr>
        <w:t>inactive</w:t>
      </w:r>
      <w:r w:rsidR="005F6975" w:rsidRPr="007C0ACA">
        <w:t xml:space="preserve"> conformation appears more stable. </w:t>
      </w:r>
      <w:r w:rsidR="00471D81" w:rsidRPr="007C0ACA">
        <w:t>However, t</w:t>
      </w:r>
      <w:r w:rsidR="005F6975" w:rsidRPr="007C0ACA">
        <w:t xml:space="preserve">hese </w:t>
      </w:r>
      <w:r w:rsidR="00471D81" w:rsidRPr="007C0ACA">
        <w:t>trends</w:t>
      </w:r>
      <w:r w:rsidR="005F6975" w:rsidRPr="007C0ACA">
        <w:t xml:space="preserve"> are </w:t>
      </w:r>
      <w:r w:rsidR="00822512" w:rsidRPr="007C0ACA">
        <w:t>different</w:t>
      </w:r>
      <w:r w:rsidR="005F6975" w:rsidRPr="007C0ACA">
        <w:t xml:space="preserve"> when the entropic contribution is included. In this case, </w:t>
      </w:r>
      <w:r w:rsidR="00FE3AE4" w:rsidRPr="007C0ACA">
        <w:t xml:space="preserve">when the inhibitor is bound, </w:t>
      </w:r>
      <w:r w:rsidR="005F6975" w:rsidRPr="007C0ACA">
        <w:t xml:space="preserve">the two conformations </w:t>
      </w:r>
      <w:r w:rsidR="005602B0" w:rsidRPr="007C0ACA">
        <w:t>are similar</w:t>
      </w:r>
      <w:r w:rsidR="00E4268B" w:rsidRPr="007C0ACA">
        <w:t xml:space="preserve">; in contrast, for the </w:t>
      </w:r>
      <w:r w:rsidR="005602B0" w:rsidRPr="007C0ACA">
        <w:t xml:space="preserve">activator </w:t>
      </w:r>
      <w:r w:rsidR="00E4268B" w:rsidRPr="007C0ACA">
        <w:t>there is a small difference between the two conformations.</w:t>
      </w:r>
      <w:r w:rsidR="005602B0" w:rsidRPr="007C0ACA">
        <w:t xml:space="preserve"> </w:t>
      </w:r>
      <w:r w:rsidR="00E4268B" w:rsidRPr="007C0ACA">
        <w:t>Moreover</w:t>
      </w:r>
      <w:r w:rsidR="00822512" w:rsidRPr="007C0ACA">
        <w:t>,</w:t>
      </w:r>
      <w:r w:rsidR="005F6975" w:rsidRPr="007C0ACA">
        <w:t xml:space="preserve"> </w:t>
      </w:r>
      <w:r w:rsidR="00822512" w:rsidRPr="007C0ACA">
        <w:t>a</w:t>
      </w:r>
      <w:r w:rsidRPr="007C0ACA">
        <w:t xml:space="preserve">s </w:t>
      </w:r>
      <w:r w:rsidR="00E4268B" w:rsidRPr="007C0ACA">
        <w:t>shown</w:t>
      </w:r>
      <w:r w:rsidRPr="007C0ACA">
        <w:t xml:space="preserve"> in Figure</w:t>
      </w:r>
      <w:r w:rsidR="00822512" w:rsidRPr="007C0ACA">
        <w:t>s</w:t>
      </w:r>
      <w:r w:rsidRPr="007C0ACA">
        <w:t xml:space="preserve"> </w:t>
      </w:r>
      <w:r w:rsidR="004166DE" w:rsidRPr="007C0ACA">
        <w:t>S3</w:t>
      </w:r>
      <w:r w:rsidRPr="007C0ACA">
        <w:t xml:space="preserve"> and </w:t>
      </w:r>
      <w:r w:rsidR="004166DE" w:rsidRPr="007C0ACA">
        <w:t>S4</w:t>
      </w:r>
      <w:r w:rsidRPr="007C0ACA">
        <w:t xml:space="preserve">, not only </w:t>
      </w:r>
      <w:r w:rsidR="00E4268B" w:rsidRPr="007C0ACA">
        <w:t xml:space="preserve">the </w:t>
      </w:r>
      <w:r w:rsidRPr="007C0ACA">
        <w:t xml:space="preserve">Bak/Bim complex </w:t>
      </w:r>
      <w:r w:rsidR="006F7E94" w:rsidRPr="007C0ACA">
        <w:t>exhibits</w:t>
      </w:r>
      <w:r w:rsidRPr="007C0ACA">
        <w:t xml:space="preserve"> a similar energy profile during all molecular dynamics simulation</w:t>
      </w:r>
      <w:r w:rsidR="00AE5F4D" w:rsidRPr="007C0ACA">
        <w:t>s</w:t>
      </w:r>
      <w:r w:rsidRPr="007C0ACA">
        <w:t xml:space="preserve"> in both conformations, but also Bak/Bim(h3Pc) </w:t>
      </w:r>
      <w:r w:rsidR="006F7E94" w:rsidRPr="007C0ACA">
        <w:t>exhibits</w:t>
      </w:r>
      <w:r w:rsidRPr="007C0ACA">
        <w:t xml:space="preserve"> a similar profile. Thus, despite </w:t>
      </w:r>
      <w:r w:rsidR="006F7E94" w:rsidRPr="007C0ACA">
        <w:t>the large difference in</w:t>
      </w:r>
      <w:r w:rsidRPr="007C0ACA">
        <w:t xml:space="preserve"> structural terms observed in the analysis of RMSD, in </w:t>
      </w:r>
      <w:r w:rsidR="006F7E94" w:rsidRPr="007C0ACA">
        <w:t>energy</w:t>
      </w:r>
      <w:r w:rsidRPr="007C0ACA">
        <w:t xml:space="preserve"> terms these differences are</w:t>
      </w:r>
      <w:r w:rsidR="00822512" w:rsidRPr="007C0ACA">
        <w:t xml:space="preserve"> more </w:t>
      </w:r>
      <w:r w:rsidR="006F7E94" w:rsidRPr="007C0ACA">
        <w:t>subtle</w:t>
      </w:r>
      <w:r w:rsidRPr="007C0ACA">
        <w:t xml:space="preserve">, </w:t>
      </w:r>
      <w:r w:rsidR="006F7E94" w:rsidRPr="007C0ACA">
        <w:t>suggesting</w:t>
      </w:r>
      <w:r w:rsidRPr="007C0ACA">
        <w:t xml:space="preserve"> that the separation of the </w:t>
      </w:r>
      <w:r w:rsidRPr="007C0ACA">
        <w:rPr>
          <w:i/>
        </w:rPr>
        <w:t>latch</w:t>
      </w:r>
      <w:r w:rsidRPr="007C0ACA">
        <w:t xml:space="preserve"> domain from the </w:t>
      </w:r>
      <w:r w:rsidRPr="007C0ACA">
        <w:rPr>
          <w:i/>
        </w:rPr>
        <w:t>core</w:t>
      </w:r>
      <w:r w:rsidRPr="007C0ACA">
        <w:t xml:space="preserve"> domain </w:t>
      </w:r>
      <w:r w:rsidR="00AE5F4D" w:rsidRPr="007C0ACA">
        <w:t>implies a</w:t>
      </w:r>
      <w:r w:rsidRPr="007C0ACA">
        <w:t xml:space="preserve"> </w:t>
      </w:r>
      <w:r w:rsidR="00822512" w:rsidRPr="007C0ACA">
        <w:t xml:space="preserve">small </w:t>
      </w:r>
      <w:r w:rsidRPr="007C0ACA">
        <w:t xml:space="preserve">difference in the interaction between Bak and an activator or an inhibitor </w:t>
      </w:r>
      <w:r w:rsidR="00082AC0" w:rsidRPr="007C0ACA">
        <w:t xml:space="preserve">and in this </w:t>
      </w:r>
      <w:r w:rsidR="000F398E" w:rsidRPr="007C0ACA">
        <w:t>process the</w:t>
      </w:r>
      <w:r w:rsidR="00822512" w:rsidRPr="007C0ACA">
        <w:t xml:space="preserve"> entropic </w:t>
      </w:r>
      <w:r w:rsidR="00082AC0" w:rsidRPr="007C0ACA">
        <w:t>changes can play a subtle role</w:t>
      </w:r>
      <w:r w:rsidRPr="007C0ACA">
        <w:t xml:space="preserve">. </w:t>
      </w:r>
    </w:p>
    <w:p w14:paraId="77072462" w14:textId="122EAF9D" w:rsidR="00DE1BE8" w:rsidRPr="007C0ACA" w:rsidRDefault="0079461E" w:rsidP="00FF73C6">
      <w:pPr>
        <w:spacing w:line="276" w:lineRule="auto"/>
        <w:ind w:firstLine="720"/>
        <w:jc w:val="both"/>
        <w:rPr>
          <w:vertAlign w:val="superscript"/>
        </w:rPr>
      </w:pPr>
      <w:r w:rsidRPr="007C0ACA">
        <w:t xml:space="preserve">It is generally accepted that </w:t>
      </w:r>
      <w:r w:rsidR="00A7185C" w:rsidRPr="007C0ACA">
        <w:t>i</w:t>
      </w:r>
      <w:r w:rsidR="00DE1BE8" w:rsidRPr="007C0ACA">
        <w:t>n the complexes formed between anti</w:t>
      </w:r>
      <w:r w:rsidR="00822BC5" w:rsidRPr="007C0ACA">
        <w:t>-</w:t>
      </w:r>
      <w:r w:rsidR="00DE1BE8" w:rsidRPr="007C0ACA">
        <w:t>apoptotic and pro</w:t>
      </w:r>
      <w:r w:rsidR="00822BC5" w:rsidRPr="007C0ACA">
        <w:t>-</w:t>
      </w:r>
      <w:r w:rsidR="00DE1BE8" w:rsidRPr="007C0ACA">
        <w:t xml:space="preserve">apoptotic </w:t>
      </w:r>
      <w:r w:rsidR="00AE5F4D" w:rsidRPr="007C0ACA">
        <w:t xml:space="preserve">proteins </w:t>
      </w:r>
      <w:r w:rsidR="00DE1BE8" w:rsidRPr="007C0ACA">
        <w:t xml:space="preserve">with BH3 peptides, the most relevant residues in terms of energy involved in the interaction are hydrophobic. This </w:t>
      </w:r>
      <w:r w:rsidR="00815ADF" w:rsidRPr="007C0ACA">
        <w:t xml:space="preserve">observation is also </w:t>
      </w:r>
      <w:r w:rsidR="00AE5F4D" w:rsidRPr="007C0ACA">
        <w:t xml:space="preserve">seen </w:t>
      </w:r>
      <w:r w:rsidR="00DE1BE8" w:rsidRPr="007C0ACA">
        <w:t xml:space="preserve">in Figure </w:t>
      </w:r>
      <w:r w:rsidR="00BA6671" w:rsidRPr="007C0ACA">
        <w:t>6</w:t>
      </w:r>
      <w:r w:rsidR="00237F84" w:rsidRPr="007C0ACA">
        <w:t xml:space="preserve"> and Table S1</w:t>
      </w:r>
      <w:r w:rsidR="00DE1BE8" w:rsidRPr="007C0ACA">
        <w:t xml:space="preserve">, </w:t>
      </w:r>
      <w:r w:rsidR="00815ADF" w:rsidRPr="007C0ACA">
        <w:t xml:space="preserve">where </w:t>
      </w:r>
      <w:r w:rsidR="00A7185C" w:rsidRPr="007C0ACA">
        <w:t xml:space="preserve">for </w:t>
      </w:r>
      <w:r w:rsidR="00DE1BE8" w:rsidRPr="007C0ACA">
        <w:t xml:space="preserve">Bak </w:t>
      </w:r>
      <w:r w:rsidR="00815ADF" w:rsidRPr="007C0ACA">
        <w:t>bound to</w:t>
      </w:r>
      <w:r w:rsidR="00DE1BE8" w:rsidRPr="007C0ACA">
        <w:t xml:space="preserve"> direct activator BH3 peptides</w:t>
      </w:r>
      <w:r w:rsidR="00815ADF" w:rsidRPr="007C0ACA">
        <w:t>,</w:t>
      </w:r>
      <w:r w:rsidR="00DE1BE8" w:rsidRPr="007C0ACA">
        <w:t xml:space="preserve"> </w:t>
      </w:r>
      <w:r w:rsidR="00A7185C" w:rsidRPr="007C0ACA">
        <w:t xml:space="preserve">the residues </w:t>
      </w:r>
      <w:r w:rsidR="00DE1BE8" w:rsidRPr="007C0ACA">
        <w:t>with higher energy contribution are mainly hydrophobic</w:t>
      </w:r>
      <w:r w:rsidR="00815ADF" w:rsidRPr="007C0ACA">
        <w:t>. The exception is</w:t>
      </w:r>
      <w:r w:rsidR="00DE1BE8" w:rsidRPr="007C0ACA">
        <w:t xml:space="preserve"> R127</w:t>
      </w:r>
      <w:r w:rsidR="00AE5F4D" w:rsidRPr="007C0ACA">
        <w:t>,</w:t>
      </w:r>
      <w:r w:rsidR="00815ADF" w:rsidRPr="007C0ACA">
        <w:t xml:space="preserve"> </w:t>
      </w:r>
      <w:r w:rsidR="00DE1BE8" w:rsidRPr="007C0ACA">
        <w:t>whose contribution is mainly electrostatic</w:t>
      </w:r>
      <w:r w:rsidR="00815ADF" w:rsidRPr="007C0ACA">
        <w:t xml:space="preserve"> due to </w:t>
      </w:r>
      <w:r w:rsidR="00BF6898" w:rsidRPr="007C0ACA">
        <w:t>it is</w:t>
      </w:r>
      <w:r w:rsidR="00815ADF" w:rsidRPr="007C0ACA">
        <w:t xml:space="preserve"> involved in a hydrogen bond with BH3 peptides</w:t>
      </w:r>
      <w:r w:rsidR="00610D95" w:rsidRPr="007C0ACA">
        <w:t xml:space="preserve"> </w:t>
      </w:r>
      <w:r w:rsidR="00897732" w:rsidRPr="007C0ACA">
        <w:t>(</w:t>
      </w:r>
      <w:r w:rsidR="00BF6898" w:rsidRPr="007C0ACA">
        <w:t>presence of this hydrogen bond, higher</w:t>
      </w:r>
      <w:r w:rsidR="00897732" w:rsidRPr="007C0ACA">
        <w:t xml:space="preserve"> than 70% in all systems analysed).</w:t>
      </w:r>
      <w:r w:rsidR="00815ADF" w:rsidRPr="007C0ACA">
        <w:t>This</w:t>
      </w:r>
      <w:r w:rsidR="00DE1BE8" w:rsidRPr="007C0ACA">
        <w:t xml:space="preserve"> hydrogen bond not only occurs in the interaction between pro-apoptotic and BH3-only proteins, but also in the interaction between anti-apoptotic and BH3-only proteins</w:t>
      </w:r>
      <w:r w:rsidR="00815ADF" w:rsidRPr="007C0ACA">
        <w:t>.</w:t>
      </w:r>
      <w:r w:rsidR="00376D0F" w:rsidRPr="007C0ACA">
        <w:rPr>
          <w:vertAlign w:val="superscript"/>
        </w:rPr>
        <w:fldChar w:fldCharType="begin" w:fldLock="1"/>
      </w:r>
      <w:r w:rsidR="00376D0F" w:rsidRPr="007C0ACA">
        <w:rPr>
          <w:vertAlign w:val="superscript"/>
        </w:rPr>
        <w:instrText>ADDIN CSL_CITATION {"citationItems":[{"id":"ITEM-1","itemData":{"DOI":"10.1021/ci3001666","ISSN":"15499596","abstract":"Proteins of the Bcl-2 family regulate apoptosis through the formation of heterodimers between antiapoptotic or pro-survival proteins and proapoptotic or pro-death proteins. Overexpression of antiapoptotic proteins not only contributes to the progression of many cancers, but also confers resistance to the chemo- and radiotherapeutic treatments. It has been demonstrated that peptides containing the BH3 domain of proapoptotic Bcl-2 family members are able to bind and inhibit antiapoptotic proteins. For this reason, the design of small molecules mimicking the BH3 domain of proapoptotic proteins has emerged as a promising therapeutic strategy for cancer treatment during the last years. However, BH3 domains exhibit different affinities for binding to antiapoptotic proteins; whereas Bim(BH3) and Puma(BH3) are able to bind all antiapoptotic proteins, others like Bad(BH3) and Bmf(BH3) show preference for some proteins over others. Consequently, the ability of a BH3-mimetic to kill tumor cells will depend on the BH3 peptide used as template and thus will have a selective or pan-inhibition effect. Recently, it has been suggested that this last approach could be interesting. Therefore, the present work is aimed to elucidate how the nonselective peptide Bim(BH3) is able to bind to all of the Bcl-2 family antiapoptotic proteins. To unravel the molecular determinants of this pan-inhibition, we used the MM-PB/GBSA approaches to calculate the binding free energy of the different complexes studied and to determine which residues of the peptide have the largest contribution to complex formation. Results obtained in the present work show that the binding of Bim(BH3) to pro-survival proteins is mainly hydrophobic and that specific interactions are fully distributed along the peptide sequence. © 2012 American Chemical Society.","author":[{"dropping-particle":"","family":"Delgado-Soler","given":"Laura","non-dropping-particle":"","parse-names":false,"suffix":""},{"dropping-particle":"","family":"Pinto","given":"Marta","non-dropping-particle":"","parse-names":false,"suffix":""},{"dropping-particle":"","family":"Tanaka-Gil","given":"Kaori","non-dropping-particle":"","parse-names":false,"suffix":""},{"dropping-particle":"","family":"Rubio-Martinez","given":"Jaime","non-dropping-particle":"","parse-names":false,"suffix":""}],"container-title":"Journal of Chemical Information and Modeling","id":"ITEM-1","issue":"8","issued":{"date-parts":[["2012"]]},"page":"2107-2118","title":"Molecular determinants of Bim(BH3) peptide binding to pro-survival proteins","type":"article-journal","volume":"52"},"uris":["http://www.mendeley.com/documents/?uuid=921c57b2-6700-44c6-bffb-98bae52cae19"]}],"mendeley":{"formattedCitation":"(57)","manualFormatting":"57","plainTextFormattedCitation":"(57)"},"properties":{"noteIndex":0},"schema":"https://github.com/citation-style-language/schema/raw/master/csl-citation.json"}</w:instrText>
      </w:r>
      <w:r w:rsidR="00376D0F" w:rsidRPr="007C0ACA">
        <w:rPr>
          <w:vertAlign w:val="superscript"/>
        </w:rPr>
        <w:fldChar w:fldCharType="separate"/>
      </w:r>
      <w:r w:rsidR="00376D0F" w:rsidRPr="007C0ACA">
        <w:rPr>
          <w:noProof/>
          <w:vertAlign w:val="superscript"/>
        </w:rPr>
        <w:t>57</w:t>
      </w:r>
      <w:r w:rsidR="00376D0F" w:rsidRPr="007C0ACA">
        <w:rPr>
          <w:vertAlign w:val="superscript"/>
        </w:rPr>
        <w:fldChar w:fldCharType="end"/>
      </w:r>
    </w:p>
    <w:p w14:paraId="680BAAA0" w14:textId="7BBC0A18" w:rsidR="00DE1BE8" w:rsidRPr="007C0ACA" w:rsidRDefault="006D0981" w:rsidP="00C55071">
      <w:pPr>
        <w:spacing w:line="276" w:lineRule="auto"/>
        <w:ind w:firstLine="720"/>
        <w:jc w:val="both"/>
      </w:pPr>
      <w:r w:rsidRPr="007C0ACA">
        <w:t>Comparison of the diverse</w:t>
      </w:r>
      <w:r w:rsidR="00DE1BE8" w:rsidRPr="007C0ACA">
        <w:t xml:space="preserve"> free energy contribution</w:t>
      </w:r>
      <w:r w:rsidR="00AE5F4D" w:rsidRPr="007C0ACA">
        <w:t>s</w:t>
      </w:r>
      <w:r w:rsidR="00DE1BE8" w:rsidRPr="007C0ACA">
        <w:t xml:space="preserve"> </w:t>
      </w:r>
      <w:r w:rsidRPr="007C0ACA">
        <w:t>per residue of the diverse</w:t>
      </w:r>
      <w:r w:rsidR="00DE1BE8" w:rsidRPr="007C0ACA">
        <w:t xml:space="preserve"> complexes with activators with </w:t>
      </w:r>
      <w:r w:rsidRPr="007C0ACA">
        <w:t xml:space="preserve">those of </w:t>
      </w:r>
      <w:r w:rsidR="00DE1BE8" w:rsidRPr="007C0ACA">
        <w:t>the complex Bak/Bim(h3Pc),</w:t>
      </w:r>
      <w:r w:rsidRPr="007C0ACA">
        <w:t xml:space="preserve"> show</w:t>
      </w:r>
      <w:r w:rsidR="00AE5F4D" w:rsidRPr="007C0ACA">
        <w:t>s</w:t>
      </w:r>
      <w:r w:rsidRPr="007C0ACA">
        <w:t xml:space="preserve"> that</w:t>
      </w:r>
      <w:r w:rsidR="00DE1BE8" w:rsidRPr="007C0ACA">
        <w:t xml:space="preserve"> some residues </w:t>
      </w:r>
      <w:r w:rsidRPr="007C0ACA">
        <w:t>exhibit</w:t>
      </w:r>
      <w:r w:rsidR="00DE1BE8" w:rsidRPr="007C0ACA">
        <w:t xml:space="preserve"> an important contribution as a </w:t>
      </w:r>
      <w:r w:rsidRPr="007C0ACA">
        <w:t>consequence</w:t>
      </w:r>
      <w:r w:rsidR="00DE1BE8" w:rsidRPr="007C0ACA">
        <w:t xml:space="preserve"> of the I155X </w:t>
      </w:r>
      <w:r w:rsidRPr="007C0ACA">
        <w:t xml:space="preserve">(X = suberic acid) </w:t>
      </w:r>
      <w:r w:rsidR="00DE1BE8" w:rsidRPr="007C0ACA">
        <w:t xml:space="preserve">mutation </w:t>
      </w:r>
      <w:r w:rsidRPr="007C0ACA">
        <w:t>of</w:t>
      </w:r>
      <w:r w:rsidR="00DE1BE8" w:rsidRPr="007C0ACA">
        <w:t xml:space="preserve"> Bim. This mutation produces an </w:t>
      </w:r>
      <w:r w:rsidRPr="007C0ACA">
        <w:t>approximation</w:t>
      </w:r>
      <w:r w:rsidR="00DE1BE8" w:rsidRPr="007C0ACA">
        <w:t xml:space="preserve"> to residues </w:t>
      </w:r>
      <w:r w:rsidRPr="007C0ACA">
        <w:t>of</w:t>
      </w:r>
      <w:r w:rsidR="00DE1BE8" w:rsidRPr="007C0ACA">
        <w:t xml:space="preserve"> helices α1, α3 and α5 </w:t>
      </w:r>
      <w:r w:rsidRPr="007C0ACA">
        <w:t>that</w:t>
      </w:r>
      <w:r w:rsidR="00DE1BE8" w:rsidRPr="007C0ACA">
        <w:t xml:space="preserve"> </w:t>
      </w:r>
      <w:r w:rsidRPr="007C0ACA">
        <w:t>were not</w:t>
      </w:r>
      <w:r w:rsidR="00DE1BE8" w:rsidRPr="007C0ACA">
        <w:t xml:space="preserve"> reached by the Isoleucine. These residues are R42, N86 and R137, </w:t>
      </w:r>
      <w:r w:rsidR="00AE5F4D" w:rsidRPr="007C0ACA">
        <w:t xml:space="preserve">which </w:t>
      </w:r>
      <w:r w:rsidR="00D2577C" w:rsidRPr="007C0ACA">
        <w:t xml:space="preserve">are </w:t>
      </w:r>
      <w:r w:rsidR="00AE5F4D" w:rsidRPr="007C0ACA">
        <w:t xml:space="preserve">establishing </w:t>
      </w:r>
      <w:r w:rsidR="00DE1BE8" w:rsidRPr="007C0ACA">
        <w:t>a hydrogen bond with the 9R1 155 residue from Bim(h3Pc), as it can be seen in</w:t>
      </w:r>
      <w:r w:rsidR="00360123" w:rsidRPr="007C0ACA">
        <w:t xml:space="preserve"> Figure </w:t>
      </w:r>
      <w:r w:rsidR="00BA6671" w:rsidRPr="007C0ACA">
        <w:t>7</w:t>
      </w:r>
      <w:r w:rsidR="00360123" w:rsidRPr="007C0ACA">
        <w:t>. The frequency of the hydrogen bonds involving this residue can be seen in</w:t>
      </w:r>
      <w:r w:rsidR="00DE1BE8" w:rsidRPr="007C0ACA">
        <w:t xml:space="preserve"> Table </w:t>
      </w:r>
      <w:r w:rsidR="00D2577C" w:rsidRPr="007C0ACA">
        <w:t>1</w:t>
      </w:r>
      <w:r w:rsidR="00DE1BE8" w:rsidRPr="007C0ACA">
        <w:t>.</w:t>
      </w:r>
    </w:p>
    <w:p w14:paraId="229DB30A" w14:textId="296FC317" w:rsidR="00DE1BE8" w:rsidRPr="007C0ACA" w:rsidRDefault="00DE1BE8" w:rsidP="00C55071">
      <w:pPr>
        <w:spacing w:line="276" w:lineRule="auto"/>
        <w:ind w:firstLine="720"/>
        <w:jc w:val="both"/>
      </w:pPr>
      <w:r w:rsidRPr="007C0ACA">
        <w:t xml:space="preserve">This per residue free energy contribution is similar when comparing </w:t>
      </w:r>
      <w:r w:rsidRPr="007C0ACA">
        <w:rPr>
          <w:i/>
        </w:rPr>
        <w:t>inactive</w:t>
      </w:r>
      <w:r w:rsidRPr="007C0ACA">
        <w:t xml:space="preserve"> and </w:t>
      </w:r>
      <w:r w:rsidRPr="007C0ACA">
        <w:rPr>
          <w:i/>
        </w:rPr>
        <w:t>active</w:t>
      </w:r>
      <w:r w:rsidRPr="007C0ACA">
        <w:t xml:space="preserve"> conformations, indicating that interactions that take place in the globular structure also take place in the </w:t>
      </w:r>
      <w:r w:rsidRPr="007C0ACA">
        <w:rPr>
          <w:i/>
        </w:rPr>
        <w:t>active</w:t>
      </w:r>
      <w:r w:rsidRPr="007C0ACA">
        <w:t xml:space="preserve"> conformations. Thus, the study of the interaction between BH3-only peptides with pro-apoptotic proteins can be performed in the globular form, as it has been performed until nowadays, without modifying the interaction pattern.</w:t>
      </w:r>
    </w:p>
    <w:p w14:paraId="16EA443A" w14:textId="77777777" w:rsidR="00DE1BE8" w:rsidRPr="007C0ACA" w:rsidRDefault="00DE1BE8" w:rsidP="00DE1BE8">
      <w:pPr>
        <w:pStyle w:val="Ttol3"/>
        <w:spacing w:line="276" w:lineRule="auto"/>
      </w:pPr>
      <w:r w:rsidRPr="007C0ACA">
        <w:t>Pharmacophore Definition</w:t>
      </w:r>
    </w:p>
    <w:p w14:paraId="4A040B2C" w14:textId="0FFB737B" w:rsidR="00834367" w:rsidRPr="007C0ACA" w:rsidRDefault="00DE1BE8" w:rsidP="007C0ACA">
      <w:pPr>
        <w:spacing w:line="276" w:lineRule="auto"/>
        <w:ind w:firstLine="720"/>
        <w:jc w:val="both"/>
      </w:pPr>
      <w:r w:rsidRPr="007C0ACA">
        <w:t xml:space="preserve">In order to identify the stereochemical features that characterize the binding of different BH3 peptides, </w:t>
      </w:r>
      <w:r w:rsidR="00AE5F4D" w:rsidRPr="007C0ACA">
        <w:t xml:space="preserve">the </w:t>
      </w:r>
      <w:r w:rsidRPr="007C0ACA">
        <w:t xml:space="preserve">most populated representative for each complex obtained from the clusterization of all three MD simulations was used. Residues from the BH3-only peptides with the higher energy contribution to the interaction have been used to design the pharmacophore. As it can be observed in Figure </w:t>
      </w:r>
      <w:r w:rsidR="00235197" w:rsidRPr="007C0ACA">
        <w:t>8</w:t>
      </w:r>
      <w:r w:rsidRPr="007C0ACA">
        <w:t xml:space="preserve">, </w:t>
      </w:r>
      <w:r w:rsidR="00D2577C" w:rsidRPr="007C0ACA">
        <w:t xml:space="preserve">the </w:t>
      </w:r>
      <w:r w:rsidRPr="007C0ACA">
        <w:t xml:space="preserve">pharmacophore is </w:t>
      </w:r>
      <w:r w:rsidR="00D2577C" w:rsidRPr="007C0ACA">
        <w:t>very</w:t>
      </w:r>
      <w:r w:rsidRPr="007C0ACA">
        <w:t xml:space="preserve"> similar in all complexes. BH3 peptides bind to the canonical hydrophobic groove (α3, α4 and α5) of Bak primarily through hydrophobic features. A conserved </w:t>
      </w:r>
      <w:r w:rsidRPr="007C0ACA">
        <w:lastRenderedPageBreak/>
        <w:t>Hydrogen Bond interaction is present between Bak-R127 and BH3-D95/D157 (Bid and Bim respectively). The mutated form of Bim, Bim(h3Pc), differs in the third hydrophobic feature, where appears a Hydrogen Bond acceptor feature in the canonical hydrophobic groove, in a cavity from this groove.</w:t>
      </w:r>
      <w:r w:rsidR="007C0ACA">
        <w:t xml:space="preserve"> </w:t>
      </w:r>
      <w:bookmarkStart w:id="13" w:name="_Hlk29977935"/>
      <w:r w:rsidR="00834367" w:rsidRPr="007C0ACA">
        <w:t xml:space="preserve">Pharmacophore features of the interaction between Bak and BH3-only peptides are nearly the same comparing </w:t>
      </w:r>
      <w:r w:rsidR="00834367" w:rsidRPr="007C0ACA">
        <w:rPr>
          <w:i/>
        </w:rPr>
        <w:t>inactive</w:t>
      </w:r>
      <w:r w:rsidR="00834367" w:rsidRPr="007C0ACA">
        <w:t xml:space="preserve"> and </w:t>
      </w:r>
      <w:r w:rsidR="00834367" w:rsidRPr="007C0ACA">
        <w:rPr>
          <w:i/>
        </w:rPr>
        <w:t>active</w:t>
      </w:r>
      <w:r w:rsidR="00834367" w:rsidRPr="007C0ACA">
        <w:t xml:space="preserve"> conformations. Only small differences in distances and angles that involve residue 155 are observed. However, these differences are not significant, as it can be seen in Figures S5 and S6.</w:t>
      </w:r>
      <w:bookmarkEnd w:id="13"/>
    </w:p>
    <w:p w14:paraId="0201B1B4" w14:textId="6183467A" w:rsidR="006D0174" w:rsidRPr="007C0ACA" w:rsidRDefault="006D0174" w:rsidP="007C0ACA">
      <w:pPr>
        <w:spacing w:line="276" w:lineRule="auto"/>
        <w:ind w:firstLine="720"/>
        <w:jc w:val="both"/>
      </w:pPr>
      <w:r w:rsidRPr="007C0ACA">
        <w:t xml:space="preserve">In this study we have analysed differences in the interaction </w:t>
      </w:r>
      <w:r w:rsidR="001722A8">
        <w:t xml:space="preserve">between Bak </w:t>
      </w:r>
      <w:r w:rsidR="00834367" w:rsidRPr="007C0ACA">
        <w:t xml:space="preserve">and BH3-only </w:t>
      </w:r>
      <w:r w:rsidRPr="007C0ACA">
        <w:t>when comparing th</w:t>
      </w:r>
      <w:r w:rsidR="00834367" w:rsidRPr="007C0ACA">
        <w:t>e</w:t>
      </w:r>
      <w:r w:rsidRPr="007C0ACA">
        <w:t xml:space="preserve"> </w:t>
      </w:r>
      <w:r w:rsidRPr="007C0ACA">
        <w:rPr>
          <w:i/>
        </w:rPr>
        <w:t>inactive</w:t>
      </w:r>
      <w:r w:rsidRPr="007C0ACA">
        <w:t xml:space="preserve"> to </w:t>
      </w:r>
      <w:r w:rsidRPr="007C0ACA">
        <w:rPr>
          <w:i/>
        </w:rPr>
        <w:t>active</w:t>
      </w:r>
      <w:r w:rsidRPr="007C0ACA">
        <w:t xml:space="preserve"> forms of Bak. </w:t>
      </w:r>
      <w:bookmarkStart w:id="14" w:name="_Hlk29978149"/>
      <w:r w:rsidR="007C0ACA" w:rsidRPr="007C0ACA">
        <w:t xml:space="preserve">Moreover, we wanted to analyse the Bak/Bim(h3Pc) complex on its </w:t>
      </w:r>
      <w:r w:rsidR="007C0ACA" w:rsidRPr="007C0ACA">
        <w:rPr>
          <w:i/>
        </w:rPr>
        <w:t>active</w:t>
      </w:r>
      <w:r w:rsidR="007C0ACA" w:rsidRPr="007C0ACA">
        <w:t xml:space="preserve"> conformation to shed light into the inactivation mechanism of this inhibitor. </w:t>
      </w:r>
      <w:r w:rsidRPr="007C0ACA">
        <w:t xml:space="preserve">In the </w:t>
      </w:r>
      <w:r w:rsidRPr="007C0ACA">
        <w:rPr>
          <w:i/>
        </w:rPr>
        <w:t>a</w:t>
      </w:r>
      <w:r w:rsidR="003D3F95" w:rsidRPr="007C0ACA">
        <w:rPr>
          <w:i/>
        </w:rPr>
        <w:t>ctive</w:t>
      </w:r>
      <w:r w:rsidR="003D3F95" w:rsidRPr="007C0ACA">
        <w:t xml:space="preserve"> </w:t>
      </w:r>
      <w:r w:rsidRPr="007C0ACA">
        <w:t>conformation, there is a substantial conformational change</w:t>
      </w:r>
      <w:r w:rsidR="00834367" w:rsidRPr="007C0ACA">
        <w:t xml:space="preserve"> in regard to the inactive</w:t>
      </w:r>
      <w:r w:rsidRPr="007C0ACA">
        <w:t>, since</w:t>
      </w:r>
      <w:r w:rsidR="003D3F95" w:rsidRPr="007C0ACA">
        <w:t xml:space="preserve"> the </w:t>
      </w:r>
      <w:r w:rsidR="003D3F95" w:rsidRPr="007C0ACA">
        <w:rPr>
          <w:i/>
        </w:rPr>
        <w:t>latch</w:t>
      </w:r>
      <w:r w:rsidR="003D3F95" w:rsidRPr="007C0ACA">
        <w:t xml:space="preserve"> domain (helices α6-α8) </w:t>
      </w:r>
      <w:r w:rsidRPr="007C0ACA">
        <w:t>is</w:t>
      </w:r>
      <w:r w:rsidR="003D3F95" w:rsidRPr="007C0ACA">
        <w:t xml:space="preserve"> separated from the </w:t>
      </w:r>
      <w:r w:rsidR="003D3F95" w:rsidRPr="007C0ACA">
        <w:rPr>
          <w:i/>
        </w:rPr>
        <w:t>core</w:t>
      </w:r>
      <w:r w:rsidR="003D3F95" w:rsidRPr="007C0ACA">
        <w:t xml:space="preserve"> domain (helices α2-α5).</w:t>
      </w:r>
      <w:bookmarkEnd w:id="14"/>
      <w:r w:rsidR="003D3F95" w:rsidRPr="007C0ACA">
        <w:t xml:space="preserve"> </w:t>
      </w:r>
      <w:r w:rsidR="00DE1BE8" w:rsidRPr="007C0ACA">
        <w:t xml:space="preserve">Results of distances and angles between these molecular features are shown in Figures </w:t>
      </w:r>
      <w:r w:rsidR="00726E38" w:rsidRPr="007C0ACA">
        <w:t>S5</w:t>
      </w:r>
      <w:r w:rsidR="00DE1BE8" w:rsidRPr="007C0ACA">
        <w:t xml:space="preserve"> and </w:t>
      </w:r>
      <w:r w:rsidR="00726E38" w:rsidRPr="007C0ACA">
        <w:t>S6</w:t>
      </w:r>
      <w:r w:rsidR="00DE1BE8" w:rsidRPr="007C0ACA">
        <w:t xml:space="preserve"> and Table</w:t>
      </w:r>
      <w:r w:rsidR="00FF6540" w:rsidRPr="007C0ACA">
        <w:t>s S2 and S3</w:t>
      </w:r>
      <w:r w:rsidR="00DE1BE8" w:rsidRPr="007C0ACA">
        <w:t xml:space="preserve">. </w:t>
      </w:r>
      <w:bookmarkStart w:id="15" w:name="_Hlk29978522"/>
      <w:r w:rsidR="00834367" w:rsidRPr="003E683C">
        <w:t>Analysis of the</w:t>
      </w:r>
      <w:r w:rsidRPr="003E683C">
        <w:t xml:space="preserve"> fluctuations </w:t>
      </w:r>
      <w:r w:rsidR="00834367" w:rsidRPr="003E683C">
        <w:t>reveals an</w:t>
      </w:r>
      <w:r w:rsidRPr="003E683C">
        <w:t xml:space="preserve"> overall </w:t>
      </w:r>
      <w:r w:rsidR="00834367" w:rsidRPr="003E683C">
        <w:t xml:space="preserve">increase in the </w:t>
      </w:r>
      <w:r w:rsidRPr="003E683C">
        <w:t xml:space="preserve">active conformations, since the separation of </w:t>
      </w:r>
      <w:r w:rsidRPr="003E683C">
        <w:rPr>
          <w:i/>
        </w:rPr>
        <w:t xml:space="preserve">latch </w:t>
      </w:r>
      <w:r w:rsidRPr="003E683C">
        <w:t xml:space="preserve">domain leaves an empty space that is sampled by the residues in the </w:t>
      </w:r>
      <w:r w:rsidRPr="0090485F">
        <w:rPr>
          <w:i/>
        </w:rPr>
        <w:t>core</w:t>
      </w:r>
      <w:r w:rsidRPr="003E683C">
        <w:t xml:space="preserve"> domain. However, this increase in the </w:t>
      </w:r>
      <w:r w:rsidR="001722A8" w:rsidRPr="003E683C">
        <w:t xml:space="preserve">fluctuation </w:t>
      </w:r>
      <w:r w:rsidRPr="003E683C">
        <w:t xml:space="preserve">is not observed in helices α1 and α5, in which the interactions with the 9R1 residue of the inhibitor Bim(h3Pc) stabilize and decrease the movement of these helices. This reduction in the fluctuation is showing that, despite the </w:t>
      </w:r>
      <w:r w:rsidRPr="003E683C">
        <w:rPr>
          <w:i/>
        </w:rPr>
        <w:t>latch</w:t>
      </w:r>
      <w:r w:rsidRPr="003E683C">
        <w:t xml:space="preserve"> domain is already separated from the </w:t>
      </w:r>
      <w:r w:rsidRPr="003E683C">
        <w:rPr>
          <w:i/>
        </w:rPr>
        <w:t>core</w:t>
      </w:r>
      <w:r w:rsidRPr="003E683C">
        <w:t xml:space="preserve"> domain, posterior conformational changes in further Bak activation may be inhibited.</w:t>
      </w:r>
      <w:bookmarkEnd w:id="15"/>
    </w:p>
    <w:p w14:paraId="6C8C9709" w14:textId="5384C5D9" w:rsidR="00DE1BE8" w:rsidRPr="007C0ACA" w:rsidRDefault="00834367" w:rsidP="006D0174">
      <w:pPr>
        <w:spacing w:line="276" w:lineRule="auto"/>
        <w:ind w:firstLine="720"/>
        <w:jc w:val="both"/>
      </w:pPr>
      <w:bookmarkStart w:id="16" w:name="_Hlk29978558"/>
      <w:r w:rsidRPr="007C0ACA">
        <w:t xml:space="preserve">The </w:t>
      </w:r>
      <w:r w:rsidR="007C0ACA">
        <w:t>results of the present study also reveal</w:t>
      </w:r>
      <w:r w:rsidRPr="007C0ACA">
        <w:t xml:space="preserve"> </w:t>
      </w:r>
      <w:r w:rsidR="00DE1BE8" w:rsidRPr="007C0ACA">
        <w:t xml:space="preserve">that </w:t>
      </w:r>
      <w:r w:rsidR="00D853AA" w:rsidRPr="007C0ACA">
        <w:t xml:space="preserve">the </w:t>
      </w:r>
      <w:r w:rsidR="00DE1BE8" w:rsidRPr="007C0ACA">
        <w:t xml:space="preserve">inhibitor </w:t>
      </w:r>
      <w:r w:rsidRPr="007C0ACA">
        <w:t>hinders</w:t>
      </w:r>
      <w:r w:rsidR="00DE1BE8" w:rsidRPr="007C0ACA">
        <w:t xml:space="preserve"> Bak conformational changes </w:t>
      </w:r>
      <w:r w:rsidRPr="007C0ACA">
        <w:t>required for</w:t>
      </w:r>
      <w:r w:rsidR="00DE1BE8" w:rsidRPr="007C0ACA">
        <w:t xml:space="preserve"> activation. However, </w:t>
      </w:r>
      <w:r w:rsidRPr="007C0ACA">
        <w:t>it is also possible</w:t>
      </w:r>
      <w:r w:rsidR="00DE1BE8" w:rsidRPr="007C0ACA">
        <w:t xml:space="preserve"> that this inhibitor </w:t>
      </w:r>
      <w:r w:rsidRPr="007C0ACA">
        <w:t>prevents</w:t>
      </w:r>
      <w:r w:rsidR="00DE1BE8" w:rsidRPr="007C0ACA">
        <w:t xml:space="preserve"> Bak dimerization. Energetic analysis of the interaction between Bak and BH3-only peptides has been carried out and it has been observed that </w:t>
      </w:r>
      <w:r w:rsidR="00D853AA" w:rsidRPr="007C0ACA">
        <w:t xml:space="preserve">the </w:t>
      </w:r>
      <w:r w:rsidR="00DE1BE8" w:rsidRPr="007C0ACA">
        <w:t xml:space="preserve">complex with the inhibitor has a </w:t>
      </w:r>
      <w:r w:rsidR="006C2017" w:rsidRPr="007C0ACA">
        <w:t xml:space="preserve">better </w:t>
      </w:r>
      <w:r w:rsidR="00DE1BE8" w:rsidRPr="007C0ACA">
        <w:t>free binding energy than with any other activators analysed. We have hypothesized that this increase in the interaction indicate</w:t>
      </w:r>
      <w:r w:rsidR="00D853AA" w:rsidRPr="007C0ACA">
        <w:t>s</w:t>
      </w:r>
      <w:r w:rsidR="00DE1BE8" w:rsidRPr="007C0ACA">
        <w:t xml:space="preserve"> a higher difficulty in dissociat</w:t>
      </w:r>
      <w:r w:rsidR="00020688">
        <w:t>ing</w:t>
      </w:r>
      <w:r w:rsidR="00DE1BE8" w:rsidRPr="007C0ACA">
        <w:t xml:space="preserve"> Bak from BH3-only peptide, preventing the association of Bak-Bak by their BH3 domains. Nevertheless, to assure this hypothesis, </w:t>
      </w:r>
      <w:r w:rsidR="00D853AA" w:rsidRPr="007C0ACA">
        <w:t xml:space="preserve">an </w:t>
      </w:r>
      <w:r w:rsidR="00DE1BE8" w:rsidRPr="007C0ACA">
        <w:t xml:space="preserve">analysis of the </w:t>
      </w:r>
      <w:r w:rsidR="00D853AA" w:rsidRPr="007C0ACA">
        <w:t xml:space="preserve">Bak-Bak </w:t>
      </w:r>
      <w:r w:rsidR="00DE1BE8" w:rsidRPr="007C0ACA">
        <w:t xml:space="preserve">interaction must be performed. </w:t>
      </w:r>
    </w:p>
    <w:p w14:paraId="35736EDB" w14:textId="798D7093" w:rsidR="00834367" w:rsidRPr="007C0ACA" w:rsidRDefault="00834367" w:rsidP="00834367">
      <w:pPr>
        <w:spacing w:line="276" w:lineRule="auto"/>
        <w:ind w:firstLine="720"/>
        <w:jc w:val="both"/>
      </w:pPr>
      <w:r w:rsidRPr="007C0ACA">
        <w:t>All these changes that Bak suffers when interacting with Bim(h3Pc) produce the previous mentioned inactivation of Bak. As Bak structure and energetic terms are modified, two possibilities arise that could inactivate Bak. On the one hand, as the movement of Bak is being altered, it could be that what the inhibitor is doing is preventing conformational changes that take place during Bak activation, which could be either the dissociation of the α1 helix</w:t>
      </w:r>
      <w:r w:rsidRPr="007C0ACA">
        <w:rPr>
          <w:vertAlign w:val="superscript"/>
        </w:rPr>
        <w:t>19</w:t>
      </w:r>
      <w:r w:rsidRPr="007C0ACA">
        <w:t xml:space="preserve"> or the separation of </w:t>
      </w:r>
      <w:r w:rsidRPr="007C0ACA">
        <w:rPr>
          <w:i/>
        </w:rPr>
        <w:t>core</w:t>
      </w:r>
      <w:r w:rsidRPr="007C0ACA">
        <w:t xml:space="preserve"> and </w:t>
      </w:r>
      <w:r w:rsidRPr="007C0ACA">
        <w:rPr>
          <w:i/>
        </w:rPr>
        <w:t>latch</w:t>
      </w:r>
      <w:r w:rsidRPr="007C0ACA">
        <w:t xml:space="preserve"> domain. As differences between Bak/Bim and Bak/Bim(h3Pc) also occur in the </w:t>
      </w:r>
      <w:r w:rsidRPr="007C0ACA">
        <w:rPr>
          <w:i/>
        </w:rPr>
        <w:t>active</w:t>
      </w:r>
      <w:r w:rsidRPr="007C0ACA">
        <w:t xml:space="preserve"> conformations, it could be that posterior conformational changes to fully activate Bak are also altered by the inhibitor. On the other hand, as the affinity between Bak/Bim(h3Pc) is considerably higher than the one from Bak/Bim complex, it is possible to assert that the dissociation of the inhibitor will be more difficult, and the transient binding of BH3-only peptides would be more permanent, obstructing the dimerization of Bak. In both possibilities the ability to permeabilize the MOM and to release cytochrome c from the mitochondria is blocked, so apoptosis does not occur.</w:t>
      </w:r>
    </w:p>
    <w:p w14:paraId="688B24F6" w14:textId="2060A5D7" w:rsidR="00DE1BE8" w:rsidRPr="007C0ACA" w:rsidRDefault="00DE1BE8" w:rsidP="006D0174">
      <w:pPr>
        <w:spacing w:line="276" w:lineRule="auto"/>
        <w:ind w:firstLine="720"/>
        <w:jc w:val="both"/>
      </w:pPr>
      <w:r w:rsidRPr="007C0ACA">
        <w:t xml:space="preserve">Predictions of binding free energy values are a key issue for determining the binding pattern of a given molecule. These predictions are a complex issue, especially when structural data is obtained from molecular dynamics simulations. Hence, two different approaches were used, MMPBSA and MMGBSA, to have a proper performance when estimating binding free energy. Despite the expected </w:t>
      </w:r>
      <w:r w:rsidRPr="007C0ACA">
        <w:lastRenderedPageBreak/>
        <w:t>fluctuations observed in these predictions, both approaches and time intervals (last 50</w:t>
      </w:r>
      <w:r w:rsidR="00D853AA" w:rsidRPr="007C0ACA">
        <w:t xml:space="preserve"> </w:t>
      </w:r>
      <w:r w:rsidRPr="007C0ACA">
        <w:t>ns of each MD simulation) analysed lead to stability and equivalent results (Figure</w:t>
      </w:r>
      <w:r w:rsidR="00D853AA" w:rsidRPr="007C0ACA">
        <w:t>s</w:t>
      </w:r>
      <w:r w:rsidRPr="007C0ACA">
        <w:t xml:space="preserve"> </w:t>
      </w:r>
      <w:r w:rsidR="003B1F12" w:rsidRPr="007C0ACA">
        <w:t>S1-S4</w:t>
      </w:r>
      <w:r w:rsidRPr="007C0ACA">
        <w:t>).</w:t>
      </w:r>
      <w:r w:rsidR="006D0174" w:rsidRPr="007C0ACA">
        <w:t xml:space="preserve"> </w:t>
      </w:r>
    </w:p>
    <w:p w14:paraId="3D15D266" w14:textId="6EA945E0" w:rsidR="00DE1BE8" w:rsidRPr="007C0ACA" w:rsidRDefault="00DE1BE8" w:rsidP="00C55071">
      <w:pPr>
        <w:spacing w:line="276" w:lineRule="auto"/>
        <w:ind w:firstLine="720"/>
        <w:jc w:val="both"/>
        <w:rPr>
          <w:vertAlign w:val="subscript"/>
        </w:rPr>
      </w:pPr>
      <w:r w:rsidRPr="007C0ACA">
        <w:t>Binding of BH3-only peptides to Bak protein is mainly conducted by hydrophobic interactions. These hydrophobic features exist in BH3-only peptides conserved positions, confirming that BH3 domain is constituted of conserved hydrophobic residues in conserved positions</w:t>
      </w:r>
      <w:r w:rsidRPr="007C0ACA">
        <w:rPr>
          <w:u w:val="single"/>
        </w:rPr>
        <w:t>.</w:t>
      </w:r>
      <w:r w:rsidRPr="007C0ACA">
        <w:t xml:space="preserve"> Residues from these positions are: for Bid and BidAib</w:t>
      </w:r>
      <w:r w:rsidRPr="007C0ACA">
        <w:rPr>
          <w:vertAlign w:val="subscript"/>
        </w:rPr>
        <w:t>2</w:t>
      </w:r>
      <w:r w:rsidRPr="007C0ACA">
        <w:t xml:space="preserve">, I86, L90, V93 and M97; and for Bim and Bim(h3Pc), I148, L152, I155 (9R1 for Bim(h3Pc)) and </w:t>
      </w:r>
      <w:r w:rsidR="001D698D" w:rsidRPr="007C0ACA">
        <w:t>F</w:t>
      </w:r>
      <w:r w:rsidRPr="007C0ACA">
        <w:t xml:space="preserve">159. Due to this major presence of hydrophobic features in the interaction between Bak and BH3-only peptides, finding small selective molecules to activate Bak may signify an increased difficulty. </w:t>
      </w:r>
    </w:p>
    <w:p w14:paraId="09357584" w14:textId="0BD42B22" w:rsidR="00DE1BE8" w:rsidRPr="007C0ACA" w:rsidRDefault="00DE1BE8" w:rsidP="00C55071">
      <w:pPr>
        <w:spacing w:line="276" w:lineRule="auto"/>
        <w:ind w:firstLine="720"/>
        <w:jc w:val="both"/>
      </w:pPr>
      <w:r w:rsidRPr="007C0ACA">
        <w:t xml:space="preserve">It is true that hydrophobic interactions govern substantially the interaction between Bak and BH3-only peptides. However, a hydrogen bond is present in all molecular dynamic simulations from all complexes. This </w:t>
      </w:r>
      <w:r w:rsidR="00C5337F" w:rsidRPr="007C0ACA">
        <w:t>hydrogen bond</w:t>
      </w:r>
      <w:r w:rsidRPr="007C0ACA">
        <w:t xml:space="preserve">, with </w:t>
      </w:r>
      <w:r w:rsidR="001D698D" w:rsidRPr="007C0ACA">
        <w:t>R</w:t>
      </w:r>
      <w:r w:rsidRPr="007C0ACA">
        <w:t xml:space="preserve">127 of Bak, is key in order to find more selective molecules to activate Bak. Thus, it can be affirmed that although the binding of BH3-only proteins to Bak is mainly hydrophobic, electrostatic interactions might also contribute to complex formation and increasing the affinity of these proteins. Taking that into account, </w:t>
      </w:r>
      <w:r w:rsidR="001D698D" w:rsidRPr="007C0ACA">
        <w:t>D</w:t>
      </w:r>
      <w:r w:rsidRPr="007C0ACA">
        <w:t xml:space="preserve">157 in the case of Bim and </w:t>
      </w:r>
      <w:r w:rsidR="001D698D" w:rsidRPr="007C0ACA">
        <w:t>D</w:t>
      </w:r>
      <w:r w:rsidRPr="007C0ACA">
        <w:t xml:space="preserve">95 for Bid, has been found critical for the interaction with </w:t>
      </w:r>
      <w:r w:rsidR="001D698D" w:rsidRPr="007C0ACA">
        <w:t>R</w:t>
      </w:r>
      <w:r w:rsidRPr="007C0ACA">
        <w:t xml:space="preserve">127 of Bak in all complexes. </w:t>
      </w:r>
      <w:r w:rsidRPr="003E683C">
        <w:t xml:space="preserve">However, this interaction is not only present in pro-apoptotic proteins, </w:t>
      </w:r>
      <w:r w:rsidR="007A0DDD" w:rsidRPr="003E683C">
        <w:t xml:space="preserve">but </w:t>
      </w:r>
      <w:r w:rsidRPr="003E683C">
        <w:t xml:space="preserve">it is </w:t>
      </w:r>
      <w:r w:rsidR="007A0DDD" w:rsidRPr="003E683C">
        <w:t xml:space="preserve">also </w:t>
      </w:r>
      <w:r w:rsidRPr="003E683C">
        <w:t xml:space="preserve">conserved in the interaction between BH3-only proteins and antiapoptotic proteins. Therefore, this interaction is not specific </w:t>
      </w:r>
      <w:r w:rsidR="007A0DDD" w:rsidRPr="003E683C">
        <w:t xml:space="preserve">of </w:t>
      </w:r>
      <w:r w:rsidRPr="003E683C">
        <w:t>pro-apoptotic proteins.</w:t>
      </w:r>
    </w:p>
    <w:p w14:paraId="73B30A51" w14:textId="02589045" w:rsidR="00C447C3" w:rsidRPr="007C0ACA" w:rsidRDefault="00C447C3" w:rsidP="00834367">
      <w:pPr>
        <w:spacing w:line="276" w:lineRule="auto"/>
        <w:ind w:firstLine="720"/>
        <w:jc w:val="both"/>
      </w:pPr>
      <w:r w:rsidRPr="007C0ACA">
        <w:t>Increasing knowledge about the activation mechanisms of pro-apoptotic pro</w:t>
      </w:r>
      <w:r w:rsidR="00A251D4">
        <w:t>teins</w:t>
      </w:r>
      <w:r w:rsidRPr="007C0ACA">
        <w:t xml:space="preserve"> and more </w:t>
      </w:r>
      <w:r w:rsidR="00A251D4">
        <w:t>specifically,</w:t>
      </w:r>
      <w:r w:rsidRPr="007C0ACA">
        <w:t xml:space="preserve"> Bak, is key to understand how cells develop the crucial process of apoptosis. Further analysis and studies on Bak structure and on its interaction with BH3 peptides are needed, as well as the study of Bak dimerization and oligo</w:t>
      </w:r>
      <w:r w:rsidR="00A251D4">
        <w:t>meris</w:t>
      </w:r>
      <w:r w:rsidRPr="007C0ACA">
        <w:t>ation. Understanding how Bak is modified during i</w:t>
      </w:r>
      <w:r w:rsidR="00A251D4">
        <w:t>ts activation and how it dimerises and oligomeris</w:t>
      </w:r>
      <w:r w:rsidRPr="007C0ACA">
        <w:t xml:space="preserve">es is essential in order to find new molecules that simulate all these modifications and activate Bak in those cases that it is inactivated. </w:t>
      </w:r>
    </w:p>
    <w:bookmarkEnd w:id="16"/>
    <w:p w14:paraId="697E8C3E" w14:textId="190205F0" w:rsidR="00C447C3" w:rsidRPr="007C0ACA" w:rsidRDefault="00C447C3" w:rsidP="00C447C3">
      <w:pPr>
        <w:spacing w:line="276" w:lineRule="auto"/>
        <w:rPr>
          <w:b/>
          <w:sz w:val="28"/>
        </w:rPr>
      </w:pPr>
      <w:r w:rsidRPr="007C0ACA">
        <w:rPr>
          <w:b/>
          <w:sz w:val="28"/>
        </w:rPr>
        <w:t>Conclusions</w:t>
      </w:r>
    </w:p>
    <w:p w14:paraId="254925A0" w14:textId="1EB77BAE" w:rsidR="00C447C3" w:rsidRPr="007C0ACA" w:rsidRDefault="00C447C3" w:rsidP="00C447C3">
      <w:pPr>
        <w:spacing w:line="276" w:lineRule="auto"/>
        <w:ind w:firstLine="720"/>
        <w:jc w:val="both"/>
      </w:pPr>
      <w:r w:rsidRPr="007C0ACA">
        <w:t xml:space="preserve">In the present work, </w:t>
      </w:r>
      <w:bookmarkStart w:id="17" w:name="_Hlk29978922"/>
      <w:r w:rsidRPr="007C0ACA">
        <w:t xml:space="preserve">we carried out a comparative analysis of </w:t>
      </w:r>
      <w:r w:rsidRPr="007C0ACA">
        <w:rPr>
          <w:i/>
        </w:rPr>
        <w:t>active</w:t>
      </w:r>
      <w:r w:rsidRPr="007C0ACA">
        <w:t xml:space="preserve"> and </w:t>
      </w:r>
      <w:r w:rsidRPr="007C0ACA">
        <w:rPr>
          <w:i/>
        </w:rPr>
        <w:t>inactive</w:t>
      </w:r>
      <w:r w:rsidRPr="007C0ACA">
        <w:t xml:space="preserve"> conformations of Bak </w:t>
      </w:r>
      <w:r w:rsidR="005A4694" w:rsidRPr="007C0ACA">
        <w:t xml:space="preserve">bound to activators and inhibitors, </w:t>
      </w:r>
      <w:r w:rsidR="009C7BD2" w:rsidRPr="007C0ACA">
        <w:t>aimed at</w:t>
      </w:r>
      <w:r w:rsidRPr="007C0ACA">
        <w:t xml:space="preserve"> </w:t>
      </w:r>
      <w:r w:rsidR="009C7BD2" w:rsidRPr="007C0ACA">
        <w:t>understanding</w:t>
      </w:r>
      <w:r w:rsidRPr="007C0ACA">
        <w:t xml:space="preserve"> </w:t>
      </w:r>
      <w:r w:rsidR="009C7BD2" w:rsidRPr="007C0ACA">
        <w:t xml:space="preserve">details on </w:t>
      </w:r>
      <w:r w:rsidRPr="007C0ACA">
        <w:t>the conformational changes that the protein requires to experience its insertion into the MOM</w:t>
      </w:r>
      <w:bookmarkEnd w:id="17"/>
      <w:r w:rsidRPr="007C0ACA">
        <w:t xml:space="preserve">. </w:t>
      </w:r>
    </w:p>
    <w:p w14:paraId="5B1DC4A9" w14:textId="28C70321" w:rsidR="00822BC5" w:rsidRPr="007C0ACA" w:rsidRDefault="00822BC5" w:rsidP="009C7BD2">
      <w:pPr>
        <w:spacing w:line="276" w:lineRule="auto"/>
        <w:ind w:firstLine="720"/>
        <w:jc w:val="both"/>
      </w:pPr>
      <w:bookmarkStart w:id="18" w:name="_Hlk29978977"/>
      <w:r w:rsidRPr="007C0ACA">
        <w:t>The analysis of the structural differences between Bak/Bim and Bak/Bim(h3Pc) show</w:t>
      </w:r>
      <w:r w:rsidR="00A454C4" w:rsidRPr="007C0ACA">
        <w:t xml:space="preserve">s that </w:t>
      </w:r>
      <w:r w:rsidRPr="007C0ACA">
        <w:t xml:space="preserve">for globular or </w:t>
      </w:r>
      <w:r w:rsidRPr="007C0ACA">
        <w:rPr>
          <w:i/>
        </w:rPr>
        <w:t>inactive</w:t>
      </w:r>
      <w:r w:rsidRPr="007C0ACA">
        <w:t xml:space="preserve"> structures, differences are present in helices α1 and α3, due to the interaction formed between 9R1 residue </w:t>
      </w:r>
      <w:r w:rsidR="00A454C4" w:rsidRPr="007C0ACA">
        <w:t>in</w:t>
      </w:r>
      <w:r w:rsidRPr="007C0ACA">
        <w:t xml:space="preserve"> Bim(h3Pc) with R42 and N86</w:t>
      </w:r>
      <w:r w:rsidR="00A454C4" w:rsidRPr="007C0ACA">
        <w:t xml:space="preserve"> in Bak,</w:t>
      </w:r>
      <w:r w:rsidRPr="007C0ACA">
        <w:t xml:space="preserve"> respectively. </w:t>
      </w:r>
      <w:r w:rsidR="009C7BD2" w:rsidRPr="007C0ACA">
        <w:t>Moreover, t</w:t>
      </w:r>
      <w:r w:rsidR="00A454C4" w:rsidRPr="007C0ACA">
        <w:t>he</w:t>
      </w:r>
      <w:r w:rsidRPr="007C0ACA">
        <w:t xml:space="preserve"> different</w:t>
      </w:r>
      <w:r w:rsidR="00A454C4" w:rsidRPr="007C0ACA">
        <w:t>ial</w:t>
      </w:r>
      <w:r w:rsidRPr="007C0ACA">
        <w:t xml:space="preserve"> fluctuation </w:t>
      </w:r>
      <w:r w:rsidR="00A454C4" w:rsidRPr="007C0ACA">
        <w:t>profile found</w:t>
      </w:r>
      <w:r w:rsidRPr="007C0ACA">
        <w:t xml:space="preserve"> in helix </w:t>
      </w:r>
      <w:r w:rsidR="00A454C4" w:rsidRPr="007C0ACA">
        <w:t xml:space="preserve">α3 </w:t>
      </w:r>
      <w:r w:rsidRPr="007C0ACA">
        <w:t>can be explained by the interaction between 9R1 with N86, but also with the fact that the interaction between 9R1 and R42 is competing with an intramolecular hydrogen bond between this arginine and D90, from α3 helix, increasing the fluctuation of this helix in the inhibitor.</w:t>
      </w:r>
      <w:r w:rsidR="009C7BD2" w:rsidRPr="007C0ACA">
        <w:t xml:space="preserve"> These differences can prevent the conformational changes required for Bak activation when the inhibitor is bound. </w:t>
      </w:r>
    </w:p>
    <w:p w14:paraId="224C8AAA" w14:textId="76922E73" w:rsidR="00C447C3" w:rsidRPr="007C0ACA" w:rsidRDefault="00C447C3" w:rsidP="00C447C3">
      <w:pPr>
        <w:spacing w:line="276" w:lineRule="auto"/>
        <w:ind w:firstLine="720"/>
        <w:jc w:val="both"/>
      </w:pPr>
      <w:bookmarkStart w:id="19" w:name="_Hlk29979006"/>
      <w:bookmarkEnd w:id="18"/>
      <w:r w:rsidRPr="007C0ACA">
        <w:t xml:space="preserve">Analysis of the energy contribution </w:t>
      </w:r>
      <w:r w:rsidR="005A4694" w:rsidRPr="007C0ACA">
        <w:t>of</w:t>
      </w:r>
      <w:r w:rsidRPr="007C0ACA">
        <w:t xml:space="preserve"> each residue was performed to determine the differences in the interaction between Bak/Bim and Bak/Bim(h3Pc). While in Bak/Bim complex interactions from the canonical hydrophobic groove are mainly hydrophobic, except for the hydrogen bond between R127 and D157 of Bak and Bim respectively, in Bak/Bim(h3Pc) complex, this hydrogen </w:t>
      </w:r>
      <w:r w:rsidRPr="007C0ACA">
        <w:lastRenderedPageBreak/>
        <w:t xml:space="preserve">bond exists as well as the hydrophobic interactions. However, what increases affinity between Bak and Bim and produces the already commented change of activity, inactivating Bak, is a hydrogen bond formed between R42 or R137 from Bak and 9R1 residue from Bim(h3Pc). </w:t>
      </w:r>
    </w:p>
    <w:p w14:paraId="0C8D7514" w14:textId="2999DBFE" w:rsidR="00C447C3" w:rsidRPr="007C0ACA" w:rsidRDefault="009C7BD2" w:rsidP="00C447C3">
      <w:pPr>
        <w:spacing w:line="276" w:lineRule="auto"/>
        <w:ind w:firstLine="720"/>
        <w:jc w:val="both"/>
      </w:pPr>
      <w:r w:rsidRPr="007C0ACA">
        <w:t>The study also suggests that i</w:t>
      </w:r>
      <w:r w:rsidR="00C447C3" w:rsidRPr="007C0ACA">
        <w:t>nteraction</w:t>
      </w:r>
      <w:r w:rsidRPr="007C0ACA">
        <w:t>s</w:t>
      </w:r>
      <w:r w:rsidR="00C447C3" w:rsidRPr="007C0ACA">
        <w:t xml:space="preserve"> between 9R1 and R42, R137 or N86 </w:t>
      </w:r>
      <w:r w:rsidRPr="007C0ACA">
        <w:t>are</w:t>
      </w:r>
      <w:r w:rsidR="00C447C3" w:rsidRPr="007C0ACA">
        <w:t xml:space="preserve"> important for the activity of Bak. Structural evidences in terms of fluctuation have demonstrated this importance. These evidences are supported by the energetic results, which show an increased affinity for the inhibitor form. Thus, this interaction helps decreasing the movement of these residues, which results in a more “fixed” conformation. </w:t>
      </w:r>
    </w:p>
    <w:p w14:paraId="783C79D9" w14:textId="28709CC1" w:rsidR="009C7BD2" w:rsidRPr="007C0ACA" w:rsidRDefault="009C7BD2" w:rsidP="009C7BD2">
      <w:pPr>
        <w:spacing w:line="276" w:lineRule="auto"/>
        <w:ind w:firstLine="720"/>
        <w:jc w:val="both"/>
      </w:pPr>
      <w:r w:rsidRPr="007C0ACA">
        <w:t>Moreover</w:t>
      </w:r>
      <w:r w:rsidR="00C447C3" w:rsidRPr="007C0ACA">
        <w:t xml:space="preserve">, </w:t>
      </w:r>
      <w:r w:rsidRPr="007C0ACA">
        <w:t>the present study permits</w:t>
      </w:r>
      <w:r w:rsidR="00C447C3" w:rsidRPr="007C0ACA">
        <w:t xml:space="preserve"> to conclude that the analysis of the interaction between Bak and BH3-only peptides can be performed </w:t>
      </w:r>
      <w:r w:rsidRPr="007C0ACA">
        <w:t>using</w:t>
      </w:r>
      <w:r w:rsidR="00C447C3" w:rsidRPr="007C0ACA">
        <w:t xml:space="preserve"> either the </w:t>
      </w:r>
      <w:r w:rsidR="00C447C3" w:rsidRPr="007C0ACA">
        <w:rPr>
          <w:i/>
        </w:rPr>
        <w:t>inactive</w:t>
      </w:r>
      <w:r w:rsidRPr="007C0ACA">
        <w:t xml:space="preserve"> conformation –as it has been reported in the literature so far-</w:t>
      </w:r>
      <w:r w:rsidR="00C447C3" w:rsidRPr="007C0ACA">
        <w:t xml:space="preserve"> or</w:t>
      </w:r>
      <w:r w:rsidRPr="007C0ACA">
        <w:t>,</w:t>
      </w:r>
      <w:r w:rsidR="00C447C3" w:rsidRPr="007C0ACA">
        <w:t xml:space="preserve"> the </w:t>
      </w:r>
      <w:r w:rsidR="00C447C3" w:rsidRPr="007C0ACA">
        <w:rPr>
          <w:i/>
        </w:rPr>
        <w:t>active</w:t>
      </w:r>
      <w:r w:rsidR="00C447C3" w:rsidRPr="007C0ACA">
        <w:t xml:space="preserve"> conforma</w:t>
      </w:r>
      <w:r w:rsidRPr="007C0ACA">
        <w:t>tion</w:t>
      </w:r>
      <w:r w:rsidR="00C447C3" w:rsidRPr="007C0ACA">
        <w:t xml:space="preserve"> with the </w:t>
      </w:r>
      <w:r w:rsidR="00C447C3" w:rsidRPr="007C0ACA">
        <w:rPr>
          <w:i/>
        </w:rPr>
        <w:t>latch</w:t>
      </w:r>
      <w:r w:rsidR="00C447C3" w:rsidRPr="007C0ACA">
        <w:t xml:space="preserve"> domain separated from the </w:t>
      </w:r>
      <w:r w:rsidR="00C447C3" w:rsidRPr="007C0ACA">
        <w:rPr>
          <w:i/>
        </w:rPr>
        <w:t>core</w:t>
      </w:r>
      <w:r w:rsidR="00C447C3" w:rsidRPr="007C0ACA">
        <w:t xml:space="preserve"> domain</w:t>
      </w:r>
      <w:r w:rsidRPr="007C0ACA">
        <w:t>, a</w:t>
      </w:r>
      <w:r w:rsidR="00C447C3" w:rsidRPr="007C0ACA">
        <w:t xml:space="preserve"> conformation </w:t>
      </w:r>
      <w:r w:rsidRPr="007C0ACA">
        <w:t xml:space="preserve">closer to the one </w:t>
      </w:r>
      <w:r w:rsidR="00C447C3" w:rsidRPr="007C0ACA">
        <w:t xml:space="preserve">Bak </w:t>
      </w:r>
      <w:r w:rsidRPr="007C0ACA">
        <w:t xml:space="preserve">adopts for being inserted in the MOM. </w:t>
      </w:r>
    </w:p>
    <w:p w14:paraId="06CF6BEB" w14:textId="53481B81" w:rsidR="00C447C3" w:rsidRPr="007C0ACA" w:rsidRDefault="005A4694" w:rsidP="009C7BD2">
      <w:pPr>
        <w:spacing w:line="276" w:lineRule="auto"/>
        <w:ind w:firstLine="720"/>
        <w:jc w:val="both"/>
      </w:pPr>
      <w:r w:rsidRPr="007C0ACA">
        <w:t>Finally, t</w:t>
      </w:r>
      <w:r w:rsidR="009C7BD2" w:rsidRPr="007C0ACA">
        <w:t>he d</w:t>
      </w:r>
      <w:r w:rsidR="00C447C3" w:rsidRPr="007C0ACA">
        <w:t xml:space="preserve">evelopment of </w:t>
      </w:r>
      <w:r w:rsidR="009C7BD2" w:rsidRPr="007C0ACA">
        <w:t xml:space="preserve">therapeutic </w:t>
      </w:r>
      <w:r w:rsidR="00C447C3" w:rsidRPr="007C0ACA">
        <w:t xml:space="preserve">agents that </w:t>
      </w:r>
      <w:r w:rsidRPr="007C0ACA">
        <w:t>can</w:t>
      </w:r>
      <w:r w:rsidR="00C447C3" w:rsidRPr="007C0ACA">
        <w:t xml:space="preserve"> directly activate or inhibit Bak are </w:t>
      </w:r>
      <w:r w:rsidRPr="007C0ACA">
        <w:t xml:space="preserve">equally </w:t>
      </w:r>
      <w:r w:rsidR="00C447C3" w:rsidRPr="007C0ACA">
        <w:t>important</w:t>
      </w:r>
      <w:r w:rsidRPr="007C0ACA">
        <w:t>.</w:t>
      </w:r>
      <w:r w:rsidR="00C447C3" w:rsidRPr="007C0ACA">
        <w:t xml:space="preserve"> </w:t>
      </w:r>
      <w:r w:rsidRPr="007C0ACA">
        <w:t>Further investigation o</w:t>
      </w:r>
      <w:r w:rsidR="00C447C3" w:rsidRPr="007C0ACA">
        <w:t>n the activation of Bak by BH3 peptides is cr</w:t>
      </w:r>
      <w:r w:rsidR="009C7BD2" w:rsidRPr="007C0ACA">
        <w:t xml:space="preserve">ucial to </w:t>
      </w:r>
      <w:r w:rsidRPr="007C0ACA">
        <w:t>discover novel</w:t>
      </w:r>
      <w:r w:rsidR="009C7BD2" w:rsidRPr="007C0ACA">
        <w:t xml:space="preserve"> </w:t>
      </w:r>
      <w:r w:rsidRPr="007C0ACA">
        <w:t xml:space="preserve">agents for the treatment of </w:t>
      </w:r>
      <w:r w:rsidR="009C7BD2" w:rsidRPr="007C0ACA">
        <w:t xml:space="preserve">cancer </w:t>
      </w:r>
      <w:r w:rsidR="00C447C3" w:rsidRPr="007C0ACA">
        <w:t xml:space="preserve">and </w:t>
      </w:r>
      <w:r w:rsidRPr="007C0ACA">
        <w:t xml:space="preserve">Bak </w:t>
      </w:r>
      <w:r w:rsidR="00C447C3" w:rsidRPr="007C0ACA">
        <w:t>inhibit</w:t>
      </w:r>
      <w:r w:rsidRPr="007C0ACA">
        <w:t>ors</w:t>
      </w:r>
      <w:r w:rsidR="00C447C3" w:rsidRPr="007C0ACA">
        <w:t xml:space="preserve"> </w:t>
      </w:r>
      <w:r w:rsidRPr="007C0ACA">
        <w:t>may</w:t>
      </w:r>
      <w:r w:rsidR="00C447C3" w:rsidRPr="007C0ACA">
        <w:t xml:space="preserve"> open many prospects to a better management of degenerative disorders. </w:t>
      </w:r>
    </w:p>
    <w:bookmarkEnd w:id="19"/>
    <w:p w14:paraId="5A13564E" w14:textId="52839EFA" w:rsidR="000526B4" w:rsidRPr="007C0ACA" w:rsidRDefault="001446D5" w:rsidP="000526B4">
      <w:pPr>
        <w:pStyle w:val="Default"/>
        <w:spacing w:after="58" w:line="276" w:lineRule="auto"/>
        <w:jc w:val="both"/>
        <w:rPr>
          <w:b/>
          <w:sz w:val="28"/>
          <w:szCs w:val="22"/>
        </w:rPr>
      </w:pPr>
      <w:r w:rsidRPr="007C0ACA">
        <w:rPr>
          <w:b/>
          <w:sz w:val="28"/>
          <w:szCs w:val="22"/>
        </w:rPr>
        <w:t>Acknowledgments</w:t>
      </w:r>
    </w:p>
    <w:p w14:paraId="5771AC22" w14:textId="2AA0B812" w:rsidR="00D179AC" w:rsidRPr="007C0ACA" w:rsidRDefault="001446D5" w:rsidP="00DE1BE8">
      <w:pPr>
        <w:pStyle w:val="Default"/>
        <w:spacing w:after="58" w:line="276" w:lineRule="auto"/>
        <w:jc w:val="both"/>
        <w:rPr>
          <w:rFonts w:asciiTheme="minorHAnsi" w:hAnsiTheme="minorHAnsi" w:cstheme="minorBidi"/>
          <w:color w:val="auto"/>
          <w:sz w:val="22"/>
          <w:szCs w:val="22"/>
        </w:rPr>
      </w:pPr>
      <w:r w:rsidRPr="007C0ACA">
        <w:rPr>
          <w:rFonts w:asciiTheme="minorHAnsi" w:hAnsiTheme="minorHAnsi" w:cstheme="minorBidi"/>
          <w:color w:val="auto"/>
          <w:sz w:val="22"/>
          <w:szCs w:val="22"/>
        </w:rPr>
        <w:t>This study was supported by The Agència de Gestió d’Ajuts Universitaris i de Recerca (AGAUR)-Generalitat de Catalunya (2017SGR1033). José M. Granadino-Roldán thanks the University of Jaén (Acción 1 PIUJA 2017-2018) for financial support.</w:t>
      </w:r>
    </w:p>
    <w:p w14:paraId="72C24A9A" w14:textId="77777777" w:rsidR="001446D5" w:rsidRPr="007C0ACA" w:rsidRDefault="001446D5" w:rsidP="00DE1BE8">
      <w:pPr>
        <w:pStyle w:val="Default"/>
        <w:spacing w:after="58" w:line="276" w:lineRule="auto"/>
        <w:jc w:val="both"/>
        <w:rPr>
          <w:rFonts w:asciiTheme="minorHAnsi" w:hAnsiTheme="minorHAnsi" w:cstheme="minorBidi"/>
          <w:color w:val="auto"/>
          <w:sz w:val="22"/>
          <w:szCs w:val="22"/>
        </w:rPr>
      </w:pPr>
    </w:p>
    <w:p w14:paraId="115F9C34" w14:textId="77777777" w:rsidR="006C7C9D" w:rsidRPr="007C0ACA" w:rsidRDefault="006C7C9D">
      <w:pPr>
        <w:rPr>
          <w:rFonts w:ascii="Calibri" w:hAnsi="Calibri" w:cs="Calibri"/>
          <w:b/>
          <w:color w:val="000000"/>
          <w:sz w:val="28"/>
        </w:rPr>
      </w:pPr>
      <w:r w:rsidRPr="007C0ACA">
        <w:rPr>
          <w:b/>
          <w:sz w:val="28"/>
        </w:rPr>
        <w:br w:type="page"/>
      </w:r>
    </w:p>
    <w:p w14:paraId="54DDB331" w14:textId="574BC8B5" w:rsidR="00DE1BE8" w:rsidRPr="007C0ACA" w:rsidRDefault="001C3ADD" w:rsidP="00DE1BE8">
      <w:pPr>
        <w:pStyle w:val="Default"/>
        <w:spacing w:after="58" w:line="276" w:lineRule="auto"/>
        <w:jc w:val="both"/>
        <w:rPr>
          <w:b/>
          <w:sz w:val="28"/>
          <w:szCs w:val="22"/>
        </w:rPr>
      </w:pPr>
      <w:r w:rsidRPr="007C0ACA">
        <w:rPr>
          <w:b/>
          <w:sz w:val="28"/>
          <w:szCs w:val="22"/>
        </w:rPr>
        <w:lastRenderedPageBreak/>
        <w:t>References</w:t>
      </w:r>
    </w:p>
    <w:p w14:paraId="20AD5131" w14:textId="33965CBB"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w:t>
      </w:r>
      <w:r w:rsidR="00376D0F" w:rsidRPr="007C0ACA">
        <w:rPr>
          <w:rFonts w:ascii="Calibri" w:hAnsi="Calibri" w:cs="Calibri"/>
          <w:noProof/>
          <w:szCs w:val="24"/>
        </w:rPr>
        <w:t>1</w:t>
      </w:r>
      <w:r w:rsidRPr="007C0ACA">
        <w:rPr>
          <w:rFonts w:ascii="Calibri" w:hAnsi="Calibri" w:cs="Calibri"/>
          <w:noProof/>
          <w:szCs w:val="24"/>
        </w:rPr>
        <w:t>)</w:t>
      </w:r>
      <w:r w:rsidR="00376D0F" w:rsidRPr="007C0ACA">
        <w:rPr>
          <w:rFonts w:ascii="Calibri" w:hAnsi="Calibri" w:cs="Calibri"/>
          <w:noProof/>
          <w:szCs w:val="24"/>
        </w:rPr>
        <w:t xml:space="preserve"> </w:t>
      </w:r>
      <w:r w:rsidR="00FC2365" w:rsidRPr="007C0ACA">
        <w:rPr>
          <w:rFonts w:ascii="Calibri" w:hAnsi="Calibri" w:cs="Calibri"/>
          <w:noProof/>
          <w:szCs w:val="24"/>
        </w:rPr>
        <w:t>Taylor, R. C.; Cullen</w:t>
      </w:r>
      <w:r w:rsidR="00563E80" w:rsidRPr="007C0ACA">
        <w:rPr>
          <w:rFonts w:ascii="Calibri" w:hAnsi="Calibri" w:cs="Calibri"/>
          <w:noProof/>
          <w:szCs w:val="24"/>
        </w:rPr>
        <w:t xml:space="preserve">, S. P.; Martin, S. J. </w:t>
      </w:r>
      <w:r w:rsidR="00376D0F" w:rsidRPr="007C0ACA">
        <w:t xml:space="preserve">Apoptosis: </w:t>
      </w:r>
      <w:r w:rsidR="0005197B" w:rsidRPr="007C0ACA">
        <w:t>C</w:t>
      </w:r>
      <w:r w:rsidR="00376D0F" w:rsidRPr="007C0ACA">
        <w:t xml:space="preserve">ontrolled </w:t>
      </w:r>
      <w:r w:rsidR="0005197B" w:rsidRPr="007C0ACA">
        <w:t>D</w:t>
      </w:r>
      <w:r w:rsidR="00376D0F" w:rsidRPr="007C0ACA">
        <w:t xml:space="preserve">emolition at the </w:t>
      </w:r>
      <w:r w:rsidR="0005197B" w:rsidRPr="007C0ACA">
        <w:t>C</w:t>
      </w:r>
      <w:r w:rsidR="00376D0F" w:rsidRPr="007C0ACA">
        <w:t xml:space="preserve">ellular </w:t>
      </w:r>
      <w:r w:rsidR="0005197B" w:rsidRPr="007C0ACA">
        <w:t>L</w:t>
      </w:r>
      <w:r w:rsidR="00376D0F" w:rsidRPr="007C0ACA">
        <w:t xml:space="preserve">evel. </w:t>
      </w:r>
      <w:r w:rsidR="00376D0F" w:rsidRPr="007C0ACA">
        <w:rPr>
          <w:i/>
        </w:rPr>
        <w:t>Nat</w:t>
      </w:r>
      <w:r w:rsidR="00563E80" w:rsidRPr="007C0ACA">
        <w:rPr>
          <w:i/>
        </w:rPr>
        <w:t>.</w:t>
      </w:r>
      <w:r w:rsidR="00376D0F" w:rsidRPr="007C0ACA">
        <w:rPr>
          <w:i/>
        </w:rPr>
        <w:t xml:space="preserve"> Rev</w:t>
      </w:r>
      <w:r w:rsidR="00563E80" w:rsidRPr="007C0ACA">
        <w:rPr>
          <w:i/>
        </w:rPr>
        <w:t>.</w:t>
      </w:r>
      <w:r w:rsidR="00376D0F" w:rsidRPr="007C0ACA">
        <w:rPr>
          <w:i/>
        </w:rPr>
        <w:t xml:space="preserve"> Mol</w:t>
      </w:r>
      <w:r w:rsidR="00563E80" w:rsidRPr="007C0ACA">
        <w:rPr>
          <w:i/>
        </w:rPr>
        <w:t>.</w:t>
      </w:r>
      <w:r w:rsidR="00376D0F" w:rsidRPr="007C0ACA">
        <w:rPr>
          <w:i/>
        </w:rPr>
        <w:t xml:space="preserve"> Cell Biol</w:t>
      </w:r>
      <w:r w:rsidR="00563E80" w:rsidRPr="007C0ACA">
        <w:rPr>
          <w:i/>
        </w:rPr>
        <w:t>.</w:t>
      </w:r>
      <w:r w:rsidR="00376D0F" w:rsidRPr="007C0ACA">
        <w:t xml:space="preserve"> </w:t>
      </w:r>
      <w:r w:rsidR="00376D0F" w:rsidRPr="007C0ACA">
        <w:rPr>
          <w:b/>
        </w:rPr>
        <w:t>2008</w:t>
      </w:r>
      <w:r w:rsidR="00376D0F" w:rsidRPr="007C0ACA">
        <w:t>, 9, 231-241</w:t>
      </w:r>
      <w:r w:rsidR="00376D0F" w:rsidRPr="007C0ACA">
        <w:rPr>
          <w:rFonts w:ascii="Calibri" w:hAnsi="Calibri" w:cs="Calibri"/>
          <w:noProof/>
          <w:szCs w:val="24"/>
        </w:rPr>
        <w:t xml:space="preserve">. </w:t>
      </w:r>
    </w:p>
    <w:p w14:paraId="34109BB8" w14:textId="710743FC"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(2) </w:t>
      </w:r>
      <w:r w:rsidR="00563E80" w:rsidRPr="007C0ACA">
        <w:t>Elmore, S.</w:t>
      </w:r>
      <w:r w:rsidR="00376D0F" w:rsidRPr="007C0ACA">
        <w:t xml:space="preserve"> Apoptosis: A Review of Programmed Cell Death, </w:t>
      </w:r>
      <w:r w:rsidR="00376D0F" w:rsidRPr="007C0ACA">
        <w:rPr>
          <w:i/>
        </w:rPr>
        <w:t>Toxicol</w:t>
      </w:r>
      <w:r w:rsidR="00370A1F" w:rsidRPr="007C0ACA">
        <w:rPr>
          <w:i/>
        </w:rPr>
        <w:t>.</w:t>
      </w:r>
      <w:r w:rsidR="00376D0F" w:rsidRPr="007C0ACA">
        <w:rPr>
          <w:i/>
        </w:rPr>
        <w:t xml:space="preserve"> Pathol</w:t>
      </w:r>
      <w:r w:rsidR="00370A1F" w:rsidRPr="007C0ACA">
        <w:rPr>
          <w:i/>
        </w:rPr>
        <w:t>.</w:t>
      </w:r>
      <w:r w:rsidR="00376D0F" w:rsidRPr="007C0ACA">
        <w:t xml:space="preserve">, </w:t>
      </w:r>
      <w:r w:rsidR="00376D0F" w:rsidRPr="007C0ACA">
        <w:rPr>
          <w:b/>
        </w:rPr>
        <w:t>2007</w:t>
      </w:r>
      <w:r w:rsidR="00376D0F" w:rsidRPr="007C0ACA">
        <w:t xml:space="preserve">, </w:t>
      </w:r>
      <w:r w:rsidR="00376D0F" w:rsidRPr="007C0ACA">
        <w:rPr>
          <w:i/>
        </w:rPr>
        <w:t>35</w:t>
      </w:r>
      <w:r w:rsidR="00376D0F" w:rsidRPr="007C0ACA">
        <w:t>, 495-516</w:t>
      </w:r>
      <w:r w:rsidR="00376D0F" w:rsidRPr="007C0ACA">
        <w:rPr>
          <w:rFonts w:ascii="Calibri" w:hAnsi="Calibri" w:cs="Calibri"/>
          <w:noProof/>
          <w:szCs w:val="24"/>
        </w:rPr>
        <w:t xml:space="preserve">. </w:t>
      </w:r>
    </w:p>
    <w:p w14:paraId="7C32B04A" w14:textId="3EC80F6F"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(3) </w:t>
      </w:r>
      <w:r w:rsidR="00A54D54" w:rsidRPr="007C0ACA">
        <w:rPr>
          <w:rFonts w:ascii="Calibri" w:hAnsi="Calibri" w:cs="Calibri"/>
          <w:noProof/>
          <w:szCs w:val="24"/>
        </w:rPr>
        <w:t xml:space="preserve">Favaloro, </w:t>
      </w:r>
      <w:r w:rsidR="00376D0F" w:rsidRPr="007C0ACA">
        <w:t>B.</w:t>
      </w:r>
      <w:r w:rsidR="00A54D54" w:rsidRPr="007C0ACA">
        <w:t>; Allocati,</w:t>
      </w:r>
      <w:r w:rsidR="00376D0F" w:rsidRPr="007C0ACA">
        <w:t xml:space="preserve"> N.</w:t>
      </w:r>
      <w:r w:rsidR="00A54D54" w:rsidRPr="007C0ACA">
        <w:t>; Graziano,</w:t>
      </w:r>
      <w:r w:rsidR="00376D0F" w:rsidRPr="007C0ACA">
        <w:t xml:space="preserve"> V.</w:t>
      </w:r>
      <w:r w:rsidR="00A54D54" w:rsidRPr="007C0ACA">
        <w:t>; Di Ilio,</w:t>
      </w:r>
      <w:r w:rsidR="00376D0F" w:rsidRPr="007C0ACA">
        <w:t xml:space="preserve"> C.</w:t>
      </w:r>
      <w:r w:rsidR="00A54D54" w:rsidRPr="007C0ACA">
        <w:t xml:space="preserve">; De Laurenzi, </w:t>
      </w:r>
      <w:r w:rsidR="00376D0F" w:rsidRPr="007C0ACA">
        <w:t xml:space="preserve">V. Role of Apoptosis in </w:t>
      </w:r>
      <w:r w:rsidR="00E732E4" w:rsidRPr="007C0ACA">
        <w:t>D</w:t>
      </w:r>
      <w:r w:rsidR="00376D0F" w:rsidRPr="007C0ACA">
        <w:t xml:space="preserve">isease, </w:t>
      </w:r>
      <w:r w:rsidR="00376D0F" w:rsidRPr="007C0ACA">
        <w:rPr>
          <w:i/>
        </w:rPr>
        <w:t>Aging</w:t>
      </w:r>
      <w:r w:rsidR="00376D0F" w:rsidRPr="007C0ACA">
        <w:t xml:space="preserve">, </w:t>
      </w:r>
      <w:r w:rsidR="00376D0F" w:rsidRPr="007C0ACA">
        <w:rPr>
          <w:b/>
        </w:rPr>
        <w:t>2012</w:t>
      </w:r>
      <w:r w:rsidR="00376D0F" w:rsidRPr="007C0ACA">
        <w:rPr>
          <w:rFonts w:ascii="Calibri" w:hAnsi="Calibri" w:cs="Calibri"/>
          <w:noProof/>
          <w:szCs w:val="24"/>
        </w:rPr>
        <w:t xml:space="preserve">, </w:t>
      </w:r>
      <w:r w:rsidR="00376D0F" w:rsidRPr="007C0ACA">
        <w:rPr>
          <w:rFonts w:ascii="Calibri" w:hAnsi="Calibri" w:cs="Calibri"/>
          <w:i/>
          <w:noProof/>
          <w:szCs w:val="24"/>
        </w:rPr>
        <w:t>4</w:t>
      </w:r>
      <w:r w:rsidR="00A54D54" w:rsidRPr="007C0ACA">
        <w:rPr>
          <w:rFonts w:ascii="Calibri" w:hAnsi="Calibri" w:cs="Calibri"/>
          <w:noProof/>
          <w:szCs w:val="24"/>
        </w:rPr>
        <w:t xml:space="preserve">, </w:t>
      </w:r>
      <w:r w:rsidR="00376D0F" w:rsidRPr="007C0ACA">
        <w:rPr>
          <w:rFonts w:ascii="Calibri" w:hAnsi="Calibri" w:cs="Calibri"/>
          <w:noProof/>
          <w:szCs w:val="24"/>
        </w:rPr>
        <w:t xml:space="preserve">330–49. </w:t>
      </w:r>
    </w:p>
    <w:p w14:paraId="3FA20DE7" w14:textId="10D103BD"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 </w:t>
      </w:r>
      <w:r w:rsidR="00A54D54" w:rsidRPr="007C0ACA">
        <w:rPr>
          <w:rFonts w:ascii="Calibri" w:hAnsi="Calibri" w:cs="Calibri"/>
          <w:noProof/>
          <w:szCs w:val="24"/>
        </w:rPr>
        <w:t xml:space="preserve">Shalini, </w:t>
      </w:r>
      <w:r w:rsidR="00376D0F" w:rsidRPr="007C0ACA">
        <w:t>S.</w:t>
      </w:r>
      <w:r w:rsidR="00A54D54" w:rsidRPr="007C0ACA">
        <w:t>; Dorstyn,</w:t>
      </w:r>
      <w:r w:rsidR="00376D0F" w:rsidRPr="007C0ACA">
        <w:t xml:space="preserve"> L.</w:t>
      </w:r>
      <w:r w:rsidR="00A54D54" w:rsidRPr="007C0ACA">
        <w:t>; Dawar,</w:t>
      </w:r>
      <w:r w:rsidR="00376D0F" w:rsidRPr="007C0ACA">
        <w:t xml:space="preserve"> S.</w:t>
      </w:r>
      <w:r w:rsidR="00A54D54" w:rsidRPr="007C0ACA">
        <w:t>; Kumar,</w:t>
      </w:r>
      <w:r w:rsidR="00376D0F" w:rsidRPr="007C0ACA">
        <w:t xml:space="preserve"> S. Old, </w:t>
      </w:r>
      <w:r w:rsidR="00E732E4" w:rsidRPr="007C0ACA">
        <w:t>N</w:t>
      </w:r>
      <w:r w:rsidR="00376D0F" w:rsidRPr="007C0ACA">
        <w:t xml:space="preserve">ew and </w:t>
      </w:r>
      <w:r w:rsidR="00E732E4" w:rsidRPr="007C0ACA">
        <w:t>E</w:t>
      </w:r>
      <w:r w:rsidR="00376D0F" w:rsidRPr="007C0ACA">
        <w:t xml:space="preserve">merging </w:t>
      </w:r>
      <w:r w:rsidR="00E732E4" w:rsidRPr="007C0ACA">
        <w:t>F</w:t>
      </w:r>
      <w:r w:rsidR="00376D0F" w:rsidRPr="007C0ACA">
        <w:t xml:space="preserve">unctions of </w:t>
      </w:r>
      <w:r w:rsidR="00E732E4" w:rsidRPr="007C0ACA">
        <w:t>C</w:t>
      </w:r>
      <w:r w:rsidR="00376D0F" w:rsidRPr="007C0ACA">
        <w:t>aspases,</w:t>
      </w:r>
      <w:r w:rsidR="00376D0F" w:rsidRPr="007C0ACA">
        <w:rPr>
          <w:i/>
        </w:rPr>
        <w:t xml:space="preserve"> Cell Death Differ</w:t>
      </w:r>
      <w:r w:rsidR="00BF193D" w:rsidRPr="007C0ACA">
        <w:rPr>
          <w:i/>
        </w:rPr>
        <w:t>.</w:t>
      </w:r>
      <w:r w:rsidR="00376D0F" w:rsidRPr="007C0ACA">
        <w:t xml:space="preserve">, </w:t>
      </w:r>
      <w:r w:rsidR="00376D0F" w:rsidRPr="007C0ACA">
        <w:rPr>
          <w:b/>
        </w:rPr>
        <w:t>2015</w:t>
      </w:r>
      <w:r w:rsidR="00376D0F" w:rsidRPr="007C0ACA">
        <w:t xml:space="preserve">, </w:t>
      </w:r>
      <w:r w:rsidR="00376D0F" w:rsidRPr="007C0ACA">
        <w:rPr>
          <w:i/>
        </w:rPr>
        <w:t>22</w:t>
      </w:r>
      <w:r w:rsidR="00376D0F" w:rsidRPr="007C0ACA">
        <w:t>, 526-539</w:t>
      </w:r>
      <w:r w:rsidRPr="007C0ACA">
        <w:t>.</w:t>
      </w:r>
    </w:p>
    <w:p w14:paraId="46FC3D0C" w14:textId="67812E26"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(5) </w:t>
      </w:r>
      <w:r w:rsidR="00A54D54" w:rsidRPr="007C0ACA">
        <w:rPr>
          <w:rFonts w:ascii="Calibri" w:hAnsi="Calibri" w:cs="Calibri"/>
          <w:noProof/>
          <w:szCs w:val="24"/>
        </w:rPr>
        <w:t xml:space="preserve">Tait, </w:t>
      </w:r>
      <w:r w:rsidR="00376D0F" w:rsidRPr="007C0ACA">
        <w:t>S. W. G.</w:t>
      </w:r>
      <w:r w:rsidR="00A54D54" w:rsidRPr="007C0ACA">
        <w:t>;</w:t>
      </w:r>
      <w:r w:rsidR="00376D0F" w:rsidRPr="007C0ACA">
        <w:t xml:space="preserve"> </w:t>
      </w:r>
      <w:r w:rsidR="00A54D54" w:rsidRPr="007C0ACA">
        <w:t xml:space="preserve">Green, </w:t>
      </w:r>
      <w:r w:rsidR="00376D0F" w:rsidRPr="007C0ACA">
        <w:t xml:space="preserve">D. R. </w:t>
      </w:r>
      <w:r w:rsidR="00376D0F" w:rsidRPr="007C0ACA">
        <w:rPr>
          <w:iCs/>
        </w:rPr>
        <w:t xml:space="preserve">Mitochondria and </w:t>
      </w:r>
      <w:r w:rsidR="00E732E4" w:rsidRPr="007C0ACA">
        <w:rPr>
          <w:iCs/>
        </w:rPr>
        <w:t>C</w:t>
      </w:r>
      <w:r w:rsidR="00376D0F" w:rsidRPr="007C0ACA">
        <w:rPr>
          <w:iCs/>
        </w:rPr>
        <w:t xml:space="preserve">ell </w:t>
      </w:r>
      <w:r w:rsidR="00E732E4" w:rsidRPr="007C0ACA">
        <w:rPr>
          <w:iCs/>
        </w:rPr>
        <w:t>D</w:t>
      </w:r>
      <w:r w:rsidR="00376D0F" w:rsidRPr="007C0ACA">
        <w:rPr>
          <w:iCs/>
        </w:rPr>
        <w:t xml:space="preserve">eath: </w:t>
      </w:r>
      <w:r w:rsidR="00E732E4" w:rsidRPr="007C0ACA">
        <w:rPr>
          <w:iCs/>
        </w:rPr>
        <w:t>O</w:t>
      </w:r>
      <w:r w:rsidR="00376D0F" w:rsidRPr="007C0ACA">
        <w:rPr>
          <w:iCs/>
        </w:rPr>
        <w:t xml:space="preserve">uter </w:t>
      </w:r>
      <w:r w:rsidR="00E732E4" w:rsidRPr="007C0ACA">
        <w:rPr>
          <w:iCs/>
        </w:rPr>
        <w:t>M</w:t>
      </w:r>
      <w:r w:rsidR="00376D0F" w:rsidRPr="007C0ACA">
        <w:rPr>
          <w:iCs/>
        </w:rPr>
        <w:t xml:space="preserve">embrane </w:t>
      </w:r>
      <w:r w:rsidR="00E732E4" w:rsidRPr="007C0ACA">
        <w:rPr>
          <w:iCs/>
        </w:rPr>
        <w:t>P</w:t>
      </w:r>
      <w:r w:rsidR="00376D0F" w:rsidRPr="007C0ACA">
        <w:rPr>
          <w:iCs/>
        </w:rPr>
        <w:t xml:space="preserve">ermeabilization and </w:t>
      </w:r>
      <w:r w:rsidR="00E732E4" w:rsidRPr="007C0ACA">
        <w:rPr>
          <w:iCs/>
        </w:rPr>
        <w:t>B</w:t>
      </w:r>
      <w:r w:rsidR="00376D0F" w:rsidRPr="007C0ACA">
        <w:rPr>
          <w:iCs/>
        </w:rPr>
        <w:t>eyond,</w:t>
      </w:r>
      <w:r w:rsidR="00376D0F" w:rsidRPr="007C0ACA">
        <w:t xml:space="preserve"> </w:t>
      </w:r>
      <w:r w:rsidR="00A54D54" w:rsidRPr="007C0ACA">
        <w:rPr>
          <w:i/>
        </w:rPr>
        <w:t>Nat. Rev. Mol. Cell Biol.</w:t>
      </w:r>
      <w:r w:rsidR="00376D0F" w:rsidRPr="007C0ACA">
        <w:t xml:space="preserve">, </w:t>
      </w:r>
      <w:r w:rsidR="00376D0F" w:rsidRPr="007C0ACA">
        <w:rPr>
          <w:b/>
        </w:rPr>
        <w:t>2010</w:t>
      </w:r>
      <w:r w:rsidR="00376D0F" w:rsidRPr="007C0ACA">
        <w:t xml:space="preserve">, </w:t>
      </w:r>
      <w:r w:rsidR="00376D0F" w:rsidRPr="007C0ACA">
        <w:rPr>
          <w:i/>
        </w:rPr>
        <w:t>11</w:t>
      </w:r>
      <w:r w:rsidR="00376D0F" w:rsidRPr="007C0ACA">
        <w:t>, 621-632.</w:t>
      </w:r>
    </w:p>
    <w:p w14:paraId="55BEBEF0" w14:textId="3DBDD37A"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(6) </w:t>
      </w:r>
      <w:r w:rsidR="00A54D54" w:rsidRPr="007C0ACA">
        <w:rPr>
          <w:rFonts w:ascii="Calibri" w:hAnsi="Calibri" w:cs="Calibri"/>
          <w:noProof/>
          <w:szCs w:val="24"/>
        </w:rPr>
        <w:t xml:space="preserve">Tait, </w:t>
      </w:r>
      <w:r w:rsidR="00376D0F" w:rsidRPr="007C0ACA">
        <w:t>S. W. G.</w:t>
      </w:r>
      <w:r w:rsidR="00A54D54" w:rsidRPr="007C0ACA">
        <w:t>; Parsons,</w:t>
      </w:r>
      <w:r w:rsidR="00376D0F" w:rsidRPr="007C0ACA">
        <w:t xml:space="preserve"> M. J.</w:t>
      </w:r>
      <w:r w:rsidR="00A54D54" w:rsidRPr="007C0ACA">
        <w:t>; Llambi,</w:t>
      </w:r>
      <w:r w:rsidR="00376D0F" w:rsidRPr="007C0ACA">
        <w:t xml:space="preserve"> F.</w:t>
      </w:r>
      <w:r w:rsidR="00A54D54" w:rsidRPr="007C0ACA">
        <w:t>;</w:t>
      </w:r>
      <w:r w:rsidR="00376D0F" w:rsidRPr="007C0ACA">
        <w:t xml:space="preserve"> </w:t>
      </w:r>
      <w:r w:rsidR="00A54D54" w:rsidRPr="007C0ACA">
        <w:t xml:space="preserve">Bouchier-Haves, </w:t>
      </w:r>
      <w:r w:rsidR="00376D0F" w:rsidRPr="007C0ACA">
        <w:t>L.</w:t>
      </w:r>
      <w:r w:rsidR="00A54D54" w:rsidRPr="007C0ACA">
        <w:t>; Connel,</w:t>
      </w:r>
      <w:r w:rsidR="00376D0F" w:rsidRPr="007C0ACA">
        <w:t xml:space="preserve"> S.</w:t>
      </w:r>
      <w:r w:rsidR="00A54D54" w:rsidRPr="007C0ACA">
        <w:t>; Muñoz-Pinedo,</w:t>
      </w:r>
      <w:r w:rsidR="00376D0F" w:rsidRPr="007C0ACA">
        <w:t xml:space="preserve"> C.</w:t>
      </w:r>
      <w:r w:rsidR="00A54D54" w:rsidRPr="007C0ACA">
        <w:t xml:space="preserve">; Green, </w:t>
      </w:r>
      <w:r w:rsidR="00376D0F" w:rsidRPr="007C0ACA">
        <w:t xml:space="preserve"> D. R. Resistance to </w:t>
      </w:r>
      <w:r w:rsidR="00E732E4" w:rsidRPr="007C0ACA">
        <w:t>C</w:t>
      </w:r>
      <w:r w:rsidR="00376D0F" w:rsidRPr="007C0ACA">
        <w:t>aspase-</w:t>
      </w:r>
      <w:r w:rsidR="00E732E4" w:rsidRPr="007C0ACA">
        <w:t>I</w:t>
      </w:r>
      <w:r w:rsidR="00376D0F" w:rsidRPr="007C0ACA">
        <w:t xml:space="preserve">ndependent </w:t>
      </w:r>
      <w:r w:rsidR="00E732E4" w:rsidRPr="007C0ACA">
        <w:t>C</w:t>
      </w:r>
      <w:r w:rsidR="00376D0F" w:rsidRPr="007C0ACA">
        <w:t xml:space="preserve">ell </w:t>
      </w:r>
      <w:r w:rsidR="00E732E4" w:rsidRPr="007C0ACA">
        <w:t>D</w:t>
      </w:r>
      <w:r w:rsidR="00376D0F" w:rsidRPr="007C0ACA">
        <w:t xml:space="preserve">eath </w:t>
      </w:r>
      <w:r w:rsidR="00E732E4" w:rsidRPr="007C0ACA">
        <w:t>R</w:t>
      </w:r>
      <w:r w:rsidR="00376D0F" w:rsidRPr="007C0ACA">
        <w:t xml:space="preserve">equires </w:t>
      </w:r>
      <w:r w:rsidR="00E732E4" w:rsidRPr="007C0ACA">
        <w:t>P</w:t>
      </w:r>
      <w:r w:rsidR="00376D0F" w:rsidRPr="007C0ACA">
        <w:t xml:space="preserve">ersistence of </w:t>
      </w:r>
      <w:r w:rsidR="00E732E4" w:rsidRPr="007C0ACA">
        <w:t>I</w:t>
      </w:r>
      <w:r w:rsidR="00376D0F" w:rsidRPr="007C0ACA">
        <w:t xml:space="preserve">ntact </w:t>
      </w:r>
      <w:r w:rsidR="00E732E4" w:rsidRPr="007C0ACA">
        <w:t>M</w:t>
      </w:r>
      <w:r w:rsidR="00376D0F" w:rsidRPr="007C0ACA">
        <w:t xml:space="preserve">itochondria, </w:t>
      </w:r>
      <w:r w:rsidR="00376D0F" w:rsidRPr="007C0ACA">
        <w:rPr>
          <w:i/>
        </w:rPr>
        <w:t>Dev. Cell,</w:t>
      </w:r>
      <w:r w:rsidR="00376D0F" w:rsidRPr="007C0ACA">
        <w:t xml:space="preserve"> </w:t>
      </w:r>
      <w:r w:rsidR="00376D0F" w:rsidRPr="007C0ACA">
        <w:rPr>
          <w:b/>
        </w:rPr>
        <w:t>2010</w:t>
      </w:r>
      <w:r w:rsidR="00376D0F" w:rsidRPr="007C0ACA">
        <w:t xml:space="preserve">, </w:t>
      </w:r>
      <w:r w:rsidR="00376D0F" w:rsidRPr="007C0ACA">
        <w:rPr>
          <w:i/>
        </w:rPr>
        <w:t>18</w:t>
      </w:r>
      <w:r w:rsidR="00376D0F" w:rsidRPr="007C0ACA">
        <w:t>, 802-813</w:t>
      </w:r>
      <w:r w:rsidR="00376D0F" w:rsidRPr="007C0ACA">
        <w:rPr>
          <w:rFonts w:ascii="Calibri" w:hAnsi="Calibri" w:cs="Calibri"/>
          <w:noProof/>
          <w:szCs w:val="24"/>
        </w:rPr>
        <w:t xml:space="preserve">. </w:t>
      </w:r>
    </w:p>
    <w:p w14:paraId="11AFE544" w14:textId="1D8E1A9B"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(7) </w:t>
      </w:r>
      <w:r w:rsidR="00A54D54" w:rsidRPr="007C0ACA">
        <w:rPr>
          <w:rFonts w:ascii="Calibri" w:hAnsi="Calibri" w:cs="Calibri"/>
          <w:noProof/>
          <w:szCs w:val="24"/>
        </w:rPr>
        <w:t xml:space="preserve">Kushnareva, </w:t>
      </w:r>
      <w:r w:rsidR="00376D0F" w:rsidRPr="007C0ACA">
        <w:t>Y.</w:t>
      </w:r>
      <w:r w:rsidR="00A54D54" w:rsidRPr="007C0ACA">
        <w:t xml:space="preserve">; Newmeyer, </w:t>
      </w:r>
      <w:r w:rsidR="00376D0F" w:rsidRPr="007C0ACA">
        <w:t xml:space="preserve">D. D. Bioenergetics and </w:t>
      </w:r>
      <w:r w:rsidR="00E732E4" w:rsidRPr="007C0ACA">
        <w:t>C</w:t>
      </w:r>
      <w:r w:rsidR="00376D0F" w:rsidRPr="007C0ACA">
        <w:t xml:space="preserve">ell </w:t>
      </w:r>
      <w:r w:rsidR="00E732E4" w:rsidRPr="007C0ACA">
        <w:t>D</w:t>
      </w:r>
      <w:r w:rsidR="00376D0F" w:rsidRPr="007C0ACA">
        <w:t xml:space="preserve">eath, </w:t>
      </w:r>
      <w:r w:rsidR="00376D0F" w:rsidRPr="007C0ACA">
        <w:rPr>
          <w:i/>
        </w:rPr>
        <w:t>Ann</w:t>
      </w:r>
      <w:r w:rsidR="00A54D54" w:rsidRPr="007C0ACA">
        <w:rPr>
          <w:i/>
        </w:rPr>
        <w:t>.</w:t>
      </w:r>
      <w:r w:rsidR="00376D0F" w:rsidRPr="007C0ACA">
        <w:rPr>
          <w:i/>
        </w:rPr>
        <w:t xml:space="preserve"> N</w:t>
      </w:r>
      <w:r w:rsidR="00BF193D" w:rsidRPr="007C0ACA">
        <w:rPr>
          <w:i/>
        </w:rPr>
        <w:t xml:space="preserve">. </w:t>
      </w:r>
      <w:r w:rsidR="00376D0F" w:rsidRPr="007C0ACA">
        <w:rPr>
          <w:i/>
        </w:rPr>
        <w:t>Y</w:t>
      </w:r>
      <w:r w:rsidR="00BF193D" w:rsidRPr="007C0ACA">
        <w:rPr>
          <w:i/>
        </w:rPr>
        <w:t>.</w:t>
      </w:r>
      <w:r w:rsidR="00376D0F" w:rsidRPr="007C0ACA">
        <w:rPr>
          <w:i/>
        </w:rPr>
        <w:t xml:space="preserve"> Acad</w:t>
      </w:r>
      <w:r w:rsidR="004C4447" w:rsidRPr="007C0ACA">
        <w:rPr>
          <w:i/>
        </w:rPr>
        <w:t>.</w:t>
      </w:r>
      <w:r w:rsidR="00376D0F" w:rsidRPr="007C0ACA">
        <w:rPr>
          <w:i/>
        </w:rPr>
        <w:t xml:space="preserve"> Sci</w:t>
      </w:r>
      <w:r w:rsidR="004C4447" w:rsidRPr="007C0ACA">
        <w:rPr>
          <w:i/>
        </w:rPr>
        <w:t>.</w:t>
      </w:r>
      <w:r w:rsidR="00376D0F" w:rsidRPr="007C0ACA">
        <w:t xml:space="preserve">, </w:t>
      </w:r>
      <w:r w:rsidR="00376D0F" w:rsidRPr="007C0ACA">
        <w:rPr>
          <w:b/>
        </w:rPr>
        <w:t>2010</w:t>
      </w:r>
      <w:r w:rsidR="00376D0F" w:rsidRPr="007C0ACA">
        <w:t xml:space="preserve">, </w:t>
      </w:r>
      <w:r w:rsidR="00376D0F" w:rsidRPr="007C0ACA">
        <w:rPr>
          <w:i/>
        </w:rPr>
        <w:t>1201</w:t>
      </w:r>
      <w:r w:rsidR="00376D0F" w:rsidRPr="007C0ACA">
        <w:t>, 50-57</w:t>
      </w:r>
      <w:r w:rsidR="00376D0F" w:rsidRPr="007C0ACA">
        <w:rPr>
          <w:rFonts w:ascii="Calibri" w:hAnsi="Calibri" w:cs="Calibri"/>
          <w:noProof/>
          <w:szCs w:val="24"/>
        </w:rPr>
        <w:t xml:space="preserve">. </w:t>
      </w:r>
    </w:p>
    <w:p w14:paraId="23FB20A5" w14:textId="4F40374C"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(8) </w:t>
      </w:r>
      <w:r w:rsidR="004C4447" w:rsidRPr="007C0ACA">
        <w:rPr>
          <w:rFonts w:ascii="Calibri" w:hAnsi="Calibri" w:cs="Calibri"/>
          <w:noProof/>
          <w:szCs w:val="24"/>
        </w:rPr>
        <w:t xml:space="preserve">Czabotar, </w:t>
      </w:r>
      <w:r w:rsidR="00376D0F" w:rsidRPr="007C0ACA">
        <w:t>P. E.</w:t>
      </w:r>
      <w:r w:rsidR="004C4447" w:rsidRPr="007C0ACA">
        <w:t>; Lessene,</w:t>
      </w:r>
      <w:r w:rsidR="00376D0F" w:rsidRPr="007C0ACA">
        <w:t xml:space="preserve"> G.</w:t>
      </w:r>
      <w:r w:rsidR="004C4447" w:rsidRPr="007C0ACA">
        <w:t>; Strasser,</w:t>
      </w:r>
      <w:r w:rsidR="00376D0F" w:rsidRPr="007C0ACA">
        <w:t xml:space="preserve"> A.</w:t>
      </w:r>
      <w:r w:rsidR="004C4447" w:rsidRPr="007C0ACA">
        <w:t>; Adams,</w:t>
      </w:r>
      <w:r w:rsidR="00376D0F" w:rsidRPr="007C0ACA">
        <w:t xml:space="preserve"> J. M.</w:t>
      </w:r>
      <w:r w:rsidR="004C4447" w:rsidRPr="007C0ACA">
        <w:t xml:space="preserve"> </w:t>
      </w:r>
      <w:r w:rsidR="00376D0F" w:rsidRPr="007C0ACA">
        <w:t xml:space="preserve">Control of </w:t>
      </w:r>
      <w:r w:rsidR="00E732E4" w:rsidRPr="007C0ACA">
        <w:t>A</w:t>
      </w:r>
      <w:r w:rsidR="00376D0F" w:rsidRPr="007C0ACA">
        <w:t xml:space="preserve">poptosis by the Bcl-2 </w:t>
      </w:r>
      <w:r w:rsidR="00E732E4" w:rsidRPr="007C0ACA">
        <w:t>P</w:t>
      </w:r>
      <w:r w:rsidR="00376D0F" w:rsidRPr="007C0ACA">
        <w:t xml:space="preserve">rotein </w:t>
      </w:r>
      <w:r w:rsidR="00E732E4" w:rsidRPr="007C0ACA">
        <w:t>F</w:t>
      </w:r>
      <w:r w:rsidR="00376D0F" w:rsidRPr="007C0ACA">
        <w:t xml:space="preserve">amily: </w:t>
      </w:r>
      <w:r w:rsidR="00E732E4" w:rsidRPr="007C0ACA">
        <w:t>I</w:t>
      </w:r>
      <w:r w:rsidR="00376D0F" w:rsidRPr="007C0ACA">
        <w:t xml:space="preserve">mplications for </w:t>
      </w:r>
      <w:r w:rsidR="00E732E4" w:rsidRPr="007C0ACA">
        <w:t>P</w:t>
      </w:r>
      <w:r w:rsidR="00376D0F" w:rsidRPr="007C0ACA">
        <w:t xml:space="preserve">hysiology and </w:t>
      </w:r>
      <w:r w:rsidR="00E732E4" w:rsidRPr="007C0ACA">
        <w:t>T</w:t>
      </w:r>
      <w:r w:rsidR="00376D0F" w:rsidRPr="007C0ACA">
        <w:t xml:space="preserve">herapy. </w:t>
      </w:r>
      <w:r w:rsidR="004C4447" w:rsidRPr="007C0ACA">
        <w:rPr>
          <w:i/>
        </w:rPr>
        <w:t>Nat. Rev. Mol. Cell Biol.</w:t>
      </w:r>
      <w:r w:rsidR="00376D0F" w:rsidRPr="007C0ACA">
        <w:rPr>
          <w:i/>
        </w:rPr>
        <w:t xml:space="preserve">, </w:t>
      </w:r>
      <w:r w:rsidR="00376D0F" w:rsidRPr="007C0ACA">
        <w:rPr>
          <w:b/>
        </w:rPr>
        <w:t>2014</w:t>
      </w:r>
      <w:r w:rsidR="00376D0F" w:rsidRPr="007C0ACA">
        <w:t xml:space="preserve">, </w:t>
      </w:r>
      <w:r w:rsidR="00376D0F" w:rsidRPr="007C0ACA">
        <w:rPr>
          <w:i/>
        </w:rPr>
        <w:t>15</w:t>
      </w:r>
      <w:r w:rsidR="00376D0F" w:rsidRPr="007C0ACA">
        <w:t>, 49-63.</w:t>
      </w:r>
    </w:p>
    <w:p w14:paraId="74202398" w14:textId="403E9675"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(9) </w:t>
      </w:r>
      <w:r w:rsidR="004C4447" w:rsidRPr="007C0ACA">
        <w:rPr>
          <w:rFonts w:ascii="Calibri" w:hAnsi="Calibri" w:cs="Calibri"/>
          <w:noProof/>
          <w:szCs w:val="24"/>
        </w:rPr>
        <w:t xml:space="preserve">Chipuk, </w:t>
      </w:r>
      <w:r w:rsidR="00376D0F" w:rsidRPr="007C0ACA">
        <w:t>J. E.</w:t>
      </w:r>
      <w:r w:rsidR="004C4447" w:rsidRPr="007C0ACA">
        <w:t>; Moldoveanu,</w:t>
      </w:r>
      <w:r w:rsidR="00376D0F" w:rsidRPr="007C0ACA">
        <w:t xml:space="preserve"> T.</w:t>
      </w:r>
      <w:r w:rsidR="004C4447" w:rsidRPr="007C0ACA">
        <w:t>; Llambi,</w:t>
      </w:r>
      <w:r w:rsidR="00376D0F" w:rsidRPr="007C0ACA">
        <w:t xml:space="preserve"> F.</w:t>
      </w:r>
      <w:r w:rsidR="004C4447" w:rsidRPr="007C0ACA">
        <w:t>; Parsons,</w:t>
      </w:r>
      <w:r w:rsidR="00376D0F" w:rsidRPr="007C0ACA">
        <w:t xml:space="preserve"> M. J.</w:t>
      </w:r>
      <w:r w:rsidR="004C4447" w:rsidRPr="007C0ACA">
        <w:t>; Green,</w:t>
      </w:r>
      <w:r w:rsidR="00376D0F" w:rsidRPr="007C0ACA">
        <w:t xml:space="preserve"> D. R.</w:t>
      </w:r>
      <w:r w:rsidR="004C4447" w:rsidRPr="007C0ACA">
        <w:t xml:space="preserve"> </w:t>
      </w:r>
      <w:r w:rsidR="00376D0F" w:rsidRPr="007C0ACA">
        <w:rPr>
          <w:iCs/>
        </w:rPr>
        <w:t xml:space="preserve">The Bcl-2 </w:t>
      </w:r>
      <w:r w:rsidR="00E732E4" w:rsidRPr="007C0ACA">
        <w:rPr>
          <w:iCs/>
        </w:rPr>
        <w:t>F</w:t>
      </w:r>
      <w:r w:rsidR="00376D0F" w:rsidRPr="007C0ACA">
        <w:rPr>
          <w:iCs/>
        </w:rPr>
        <w:t xml:space="preserve">amily </w:t>
      </w:r>
      <w:r w:rsidR="00E732E4" w:rsidRPr="007C0ACA">
        <w:rPr>
          <w:iCs/>
        </w:rPr>
        <w:t>R</w:t>
      </w:r>
      <w:r w:rsidR="00376D0F" w:rsidRPr="007C0ACA">
        <w:rPr>
          <w:iCs/>
        </w:rPr>
        <w:t>eunion,</w:t>
      </w:r>
      <w:r w:rsidR="00376D0F" w:rsidRPr="007C0ACA">
        <w:t xml:space="preserve"> </w:t>
      </w:r>
      <w:r w:rsidR="00376D0F" w:rsidRPr="007C0ACA">
        <w:rPr>
          <w:i/>
        </w:rPr>
        <w:t>Mol</w:t>
      </w:r>
      <w:r w:rsidR="00BF193D" w:rsidRPr="007C0ACA">
        <w:rPr>
          <w:i/>
        </w:rPr>
        <w:t>.</w:t>
      </w:r>
      <w:r w:rsidR="00376D0F" w:rsidRPr="007C0ACA">
        <w:rPr>
          <w:i/>
        </w:rPr>
        <w:t xml:space="preserve"> Cell, </w:t>
      </w:r>
      <w:r w:rsidR="00376D0F" w:rsidRPr="007C0ACA">
        <w:rPr>
          <w:b/>
        </w:rPr>
        <w:t>2010</w:t>
      </w:r>
      <w:r w:rsidR="00376D0F" w:rsidRPr="007C0ACA">
        <w:rPr>
          <w:i/>
        </w:rPr>
        <w:t>,</w:t>
      </w:r>
      <w:r w:rsidR="00376D0F" w:rsidRPr="007C0ACA">
        <w:t xml:space="preserve"> </w:t>
      </w:r>
      <w:r w:rsidR="00376D0F" w:rsidRPr="007C0ACA">
        <w:rPr>
          <w:i/>
        </w:rPr>
        <w:t>37</w:t>
      </w:r>
      <w:r w:rsidR="00A54D54" w:rsidRPr="007C0ACA">
        <w:t>,</w:t>
      </w:r>
      <w:r w:rsidR="00376D0F" w:rsidRPr="007C0ACA">
        <w:t xml:space="preserve"> 299-310.</w:t>
      </w:r>
    </w:p>
    <w:p w14:paraId="10026D44" w14:textId="63ABEF7E"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(10)</w:t>
      </w:r>
      <w:r w:rsidR="004C4447" w:rsidRPr="007C0ACA">
        <w:rPr>
          <w:rFonts w:ascii="Calibri" w:hAnsi="Calibri" w:cs="Calibri"/>
          <w:noProof/>
          <w:szCs w:val="24"/>
        </w:rPr>
        <w:t xml:space="preserve"> Singh,</w:t>
      </w:r>
      <w:r w:rsidRPr="007C0ACA">
        <w:rPr>
          <w:rFonts w:ascii="Calibri" w:hAnsi="Calibri" w:cs="Calibri"/>
          <w:noProof/>
          <w:szCs w:val="24"/>
        </w:rPr>
        <w:t xml:space="preserve"> </w:t>
      </w:r>
      <w:r w:rsidR="00376D0F" w:rsidRPr="007C0ACA">
        <w:t>R.</w:t>
      </w:r>
      <w:r w:rsidR="004C4447" w:rsidRPr="007C0ACA">
        <w:t>; Letai,</w:t>
      </w:r>
      <w:r w:rsidR="00376D0F" w:rsidRPr="007C0ACA">
        <w:t xml:space="preserve"> A.</w:t>
      </w:r>
      <w:r w:rsidR="004C4447" w:rsidRPr="007C0ACA">
        <w:t>; Sarosiek,</w:t>
      </w:r>
      <w:r w:rsidR="00376D0F" w:rsidRPr="007C0ACA">
        <w:t xml:space="preserve"> K. Regulation of </w:t>
      </w:r>
      <w:r w:rsidR="00E732E4" w:rsidRPr="007C0ACA">
        <w:t>A</w:t>
      </w:r>
      <w:r w:rsidR="00376D0F" w:rsidRPr="007C0ACA">
        <w:t xml:space="preserve">poptosis in </w:t>
      </w:r>
      <w:r w:rsidR="00E732E4" w:rsidRPr="007C0ACA">
        <w:t>H</w:t>
      </w:r>
      <w:r w:rsidR="00376D0F" w:rsidRPr="007C0ACA">
        <w:t xml:space="preserve">ealth and </w:t>
      </w:r>
      <w:r w:rsidR="00E732E4" w:rsidRPr="007C0ACA">
        <w:t>D</w:t>
      </w:r>
      <w:r w:rsidR="00376D0F" w:rsidRPr="007C0ACA">
        <w:t xml:space="preserve">isease: the </w:t>
      </w:r>
      <w:r w:rsidR="00E732E4" w:rsidRPr="007C0ACA">
        <w:t>B</w:t>
      </w:r>
      <w:r w:rsidR="00376D0F" w:rsidRPr="007C0ACA">
        <w:t xml:space="preserve">alancing </w:t>
      </w:r>
      <w:r w:rsidR="00E732E4" w:rsidRPr="007C0ACA">
        <w:t>A</w:t>
      </w:r>
      <w:r w:rsidR="00376D0F" w:rsidRPr="007C0ACA">
        <w:t xml:space="preserve">ct of Bcl-2 </w:t>
      </w:r>
      <w:r w:rsidR="00E732E4" w:rsidRPr="007C0ACA">
        <w:t>F</w:t>
      </w:r>
      <w:r w:rsidR="00376D0F" w:rsidRPr="007C0ACA">
        <w:t xml:space="preserve">amily </w:t>
      </w:r>
      <w:r w:rsidR="00E732E4" w:rsidRPr="007C0ACA">
        <w:t>P</w:t>
      </w:r>
      <w:r w:rsidR="00376D0F" w:rsidRPr="007C0ACA">
        <w:t>roteins.</w:t>
      </w:r>
      <w:r w:rsidR="00376D0F" w:rsidRPr="007C0ACA">
        <w:rPr>
          <w:i/>
        </w:rPr>
        <w:t xml:space="preserve"> Nat</w:t>
      </w:r>
      <w:r w:rsidR="00BF193D" w:rsidRPr="007C0ACA">
        <w:rPr>
          <w:i/>
        </w:rPr>
        <w:t>.</w:t>
      </w:r>
      <w:r w:rsidR="00376D0F" w:rsidRPr="007C0ACA">
        <w:rPr>
          <w:i/>
        </w:rPr>
        <w:t xml:space="preserve"> Rev</w:t>
      </w:r>
      <w:r w:rsidR="00BF193D" w:rsidRPr="007C0ACA">
        <w:rPr>
          <w:i/>
        </w:rPr>
        <w:t>.</w:t>
      </w:r>
      <w:r w:rsidR="00376D0F" w:rsidRPr="007C0ACA">
        <w:rPr>
          <w:i/>
        </w:rPr>
        <w:t xml:space="preserve"> Mol</w:t>
      </w:r>
      <w:r w:rsidR="00BF193D" w:rsidRPr="007C0ACA">
        <w:rPr>
          <w:i/>
        </w:rPr>
        <w:t>.</w:t>
      </w:r>
      <w:r w:rsidR="00376D0F" w:rsidRPr="007C0ACA">
        <w:rPr>
          <w:i/>
        </w:rPr>
        <w:t xml:space="preserve"> Cell Biol</w:t>
      </w:r>
      <w:r w:rsidR="00BF193D" w:rsidRPr="007C0ACA">
        <w:rPr>
          <w:i/>
        </w:rPr>
        <w:t>.</w:t>
      </w:r>
      <w:r w:rsidR="00376D0F" w:rsidRPr="007C0ACA">
        <w:t xml:space="preserve">, </w:t>
      </w:r>
      <w:r w:rsidR="00376D0F" w:rsidRPr="007C0ACA">
        <w:rPr>
          <w:b/>
        </w:rPr>
        <w:t>2019</w:t>
      </w:r>
      <w:r w:rsidR="00376D0F" w:rsidRPr="007C0ACA">
        <w:t xml:space="preserve">, </w:t>
      </w:r>
      <w:r w:rsidR="00376D0F" w:rsidRPr="007C0ACA">
        <w:rPr>
          <w:i/>
        </w:rPr>
        <w:t>20</w:t>
      </w:r>
      <w:r w:rsidR="00376D0F" w:rsidRPr="007C0ACA">
        <w:t>, 175-193.</w:t>
      </w:r>
    </w:p>
    <w:p w14:paraId="482684AC" w14:textId="32D201D2"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(11) </w:t>
      </w:r>
      <w:r w:rsidR="004C4447" w:rsidRPr="007C0ACA">
        <w:rPr>
          <w:rFonts w:ascii="Calibri" w:hAnsi="Calibri" w:cs="Calibri"/>
          <w:noProof/>
          <w:szCs w:val="24"/>
        </w:rPr>
        <w:t xml:space="preserve">Delbridge, </w:t>
      </w:r>
      <w:r w:rsidR="00376D0F" w:rsidRPr="007C0ACA">
        <w:t>A. R.</w:t>
      </w:r>
      <w:r w:rsidR="004C4447" w:rsidRPr="007C0ACA">
        <w:t>; Grabow,</w:t>
      </w:r>
      <w:r w:rsidR="00376D0F" w:rsidRPr="007C0ACA">
        <w:t xml:space="preserve"> S.</w:t>
      </w:r>
      <w:r w:rsidR="004C4447" w:rsidRPr="007C0ACA">
        <w:t>; Strasser,</w:t>
      </w:r>
      <w:r w:rsidR="00376D0F" w:rsidRPr="007C0ACA">
        <w:t xml:space="preserve"> A.</w:t>
      </w:r>
      <w:r w:rsidR="004C4447" w:rsidRPr="007C0ACA">
        <w:t>; Vaux,</w:t>
      </w:r>
      <w:r w:rsidR="00376D0F" w:rsidRPr="007C0ACA">
        <w:t xml:space="preserve"> D. L. Thirty </w:t>
      </w:r>
      <w:r w:rsidR="00E732E4" w:rsidRPr="007C0ACA">
        <w:t>Y</w:t>
      </w:r>
      <w:r w:rsidR="00376D0F" w:rsidRPr="007C0ACA">
        <w:t xml:space="preserve">ears of Bcl-2: </w:t>
      </w:r>
      <w:r w:rsidR="00E732E4" w:rsidRPr="007C0ACA">
        <w:t>T</w:t>
      </w:r>
      <w:r w:rsidR="00376D0F" w:rsidRPr="007C0ACA">
        <w:t xml:space="preserve">ranslating </w:t>
      </w:r>
      <w:r w:rsidR="00E732E4" w:rsidRPr="007C0ACA">
        <w:t>C</w:t>
      </w:r>
      <w:r w:rsidR="00376D0F" w:rsidRPr="007C0ACA">
        <w:t xml:space="preserve">ell </w:t>
      </w:r>
      <w:r w:rsidR="00E732E4" w:rsidRPr="007C0ACA">
        <w:t>D</w:t>
      </w:r>
      <w:r w:rsidR="00376D0F" w:rsidRPr="007C0ACA">
        <w:t xml:space="preserve">eath </w:t>
      </w:r>
      <w:r w:rsidR="00E732E4" w:rsidRPr="007C0ACA">
        <w:t>D</w:t>
      </w:r>
      <w:r w:rsidR="00376D0F" w:rsidRPr="007C0ACA">
        <w:t xml:space="preserve">iscoveries into </w:t>
      </w:r>
      <w:r w:rsidR="00E732E4" w:rsidRPr="007C0ACA">
        <w:t>N</w:t>
      </w:r>
      <w:r w:rsidR="00376D0F" w:rsidRPr="007C0ACA">
        <w:t xml:space="preserve">ovel </w:t>
      </w:r>
      <w:r w:rsidR="00E732E4" w:rsidRPr="007C0ACA">
        <w:t>C</w:t>
      </w:r>
      <w:r w:rsidR="00376D0F" w:rsidRPr="007C0ACA">
        <w:t xml:space="preserve">ancer </w:t>
      </w:r>
      <w:r w:rsidR="00E732E4" w:rsidRPr="007C0ACA">
        <w:t>T</w:t>
      </w:r>
      <w:r w:rsidR="00376D0F" w:rsidRPr="007C0ACA">
        <w:t>herapies,</w:t>
      </w:r>
      <w:r w:rsidR="00376D0F" w:rsidRPr="007C0ACA">
        <w:rPr>
          <w:i/>
        </w:rPr>
        <w:t xml:space="preserve"> Nat</w:t>
      </w:r>
      <w:r w:rsidR="00BF193D" w:rsidRPr="007C0ACA">
        <w:rPr>
          <w:i/>
        </w:rPr>
        <w:t>.</w:t>
      </w:r>
      <w:r w:rsidR="00376D0F" w:rsidRPr="007C0ACA">
        <w:rPr>
          <w:i/>
        </w:rPr>
        <w:t xml:space="preserve"> Rev</w:t>
      </w:r>
      <w:r w:rsidR="00BF193D" w:rsidRPr="007C0ACA">
        <w:rPr>
          <w:i/>
        </w:rPr>
        <w:t>.</w:t>
      </w:r>
      <w:r w:rsidR="00376D0F" w:rsidRPr="007C0ACA">
        <w:rPr>
          <w:i/>
        </w:rPr>
        <w:t xml:space="preserve"> Cancer</w:t>
      </w:r>
      <w:r w:rsidR="00376D0F" w:rsidRPr="007C0ACA">
        <w:t xml:space="preserve">, </w:t>
      </w:r>
      <w:r w:rsidR="00376D0F" w:rsidRPr="007C0ACA">
        <w:rPr>
          <w:b/>
        </w:rPr>
        <w:t>2016</w:t>
      </w:r>
      <w:r w:rsidR="00376D0F" w:rsidRPr="007C0ACA">
        <w:t xml:space="preserve">, </w:t>
      </w:r>
      <w:r w:rsidR="00376D0F" w:rsidRPr="007C0ACA">
        <w:rPr>
          <w:i/>
        </w:rPr>
        <w:t>16</w:t>
      </w:r>
      <w:r w:rsidR="00376D0F" w:rsidRPr="007C0ACA">
        <w:t>,</w:t>
      </w:r>
      <w:r w:rsidR="00376D0F" w:rsidRPr="007C0ACA">
        <w:rPr>
          <w:i/>
        </w:rPr>
        <w:t xml:space="preserve"> </w:t>
      </w:r>
      <w:r w:rsidR="00376D0F" w:rsidRPr="007C0ACA">
        <w:t>99-109.</w:t>
      </w:r>
    </w:p>
    <w:p w14:paraId="08BC9274" w14:textId="1D4F9754"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(12) </w:t>
      </w:r>
      <w:r w:rsidR="004C4447" w:rsidRPr="007C0ACA">
        <w:rPr>
          <w:rFonts w:ascii="Calibri" w:hAnsi="Calibri" w:cs="Calibri"/>
          <w:noProof/>
          <w:szCs w:val="24"/>
        </w:rPr>
        <w:t xml:space="preserve">Knight, </w:t>
      </w:r>
      <w:r w:rsidR="00376D0F" w:rsidRPr="007C0ACA">
        <w:t>T.</w:t>
      </w:r>
      <w:r w:rsidR="004C4447" w:rsidRPr="007C0ACA">
        <w:t>; Luedtke,</w:t>
      </w:r>
      <w:r w:rsidR="00376D0F" w:rsidRPr="007C0ACA">
        <w:t xml:space="preserve"> D.</w:t>
      </w:r>
      <w:r w:rsidR="004C4447" w:rsidRPr="007C0ACA">
        <w:t>; Edwards,</w:t>
      </w:r>
      <w:r w:rsidR="00376D0F" w:rsidRPr="007C0ACA">
        <w:t xml:space="preserve"> H.</w:t>
      </w:r>
      <w:r w:rsidR="004C4447" w:rsidRPr="007C0ACA">
        <w:t>; Tauba,</w:t>
      </w:r>
      <w:r w:rsidR="00376D0F" w:rsidRPr="007C0ACA">
        <w:t xml:space="preserve"> J. W.</w:t>
      </w:r>
      <w:r w:rsidR="004C4447" w:rsidRPr="007C0ACA">
        <w:t>; Ge,</w:t>
      </w:r>
      <w:r w:rsidR="00376D0F" w:rsidRPr="007C0ACA">
        <w:t xml:space="preserve"> Y. A </w:t>
      </w:r>
      <w:r w:rsidR="00E732E4" w:rsidRPr="007C0ACA">
        <w:t>D</w:t>
      </w:r>
      <w:r w:rsidR="00376D0F" w:rsidRPr="007C0ACA">
        <w:t xml:space="preserve">elicate </w:t>
      </w:r>
      <w:r w:rsidR="00E732E4" w:rsidRPr="007C0ACA">
        <w:t>B</w:t>
      </w:r>
      <w:r w:rsidR="00376D0F" w:rsidRPr="007C0ACA">
        <w:t xml:space="preserve">alance – The Bcl-2 </w:t>
      </w:r>
      <w:r w:rsidR="00E732E4" w:rsidRPr="007C0ACA">
        <w:t>F</w:t>
      </w:r>
      <w:r w:rsidR="00376D0F" w:rsidRPr="007C0ACA">
        <w:t xml:space="preserve">amily and </w:t>
      </w:r>
      <w:r w:rsidR="00E732E4" w:rsidRPr="007C0ACA">
        <w:t>I</w:t>
      </w:r>
      <w:r w:rsidR="00376D0F" w:rsidRPr="007C0ACA">
        <w:t xml:space="preserve">ts </w:t>
      </w:r>
      <w:r w:rsidR="00E732E4" w:rsidRPr="007C0ACA">
        <w:t>R</w:t>
      </w:r>
      <w:r w:rsidR="00376D0F" w:rsidRPr="007C0ACA">
        <w:t xml:space="preserve">ole in </w:t>
      </w:r>
      <w:r w:rsidR="00E732E4" w:rsidRPr="007C0ACA">
        <w:t>A</w:t>
      </w:r>
      <w:r w:rsidR="00376D0F" w:rsidRPr="007C0ACA">
        <w:t xml:space="preserve">poptosis, oncogenesis and cancer therapeutics, </w:t>
      </w:r>
      <w:r w:rsidR="00376D0F" w:rsidRPr="007C0ACA">
        <w:rPr>
          <w:i/>
        </w:rPr>
        <w:t>Biochem</w:t>
      </w:r>
      <w:r w:rsidR="00BF193D" w:rsidRPr="007C0ACA">
        <w:rPr>
          <w:i/>
        </w:rPr>
        <w:t>.</w:t>
      </w:r>
      <w:r w:rsidR="00376D0F" w:rsidRPr="007C0ACA">
        <w:rPr>
          <w:i/>
        </w:rPr>
        <w:t xml:space="preserve"> Pharmacol</w:t>
      </w:r>
      <w:r w:rsidR="00BF193D" w:rsidRPr="007C0ACA">
        <w:rPr>
          <w:i/>
        </w:rPr>
        <w:t>.</w:t>
      </w:r>
      <w:r w:rsidR="00376D0F" w:rsidRPr="007C0ACA">
        <w:t xml:space="preserve">, </w:t>
      </w:r>
      <w:r w:rsidR="00376D0F" w:rsidRPr="007C0ACA">
        <w:rPr>
          <w:b/>
        </w:rPr>
        <w:t>2019</w:t>
      </w:r>
      <w:r w:rsidR="00376D0F" w:rsidRPr="007C0ACA">
        <w:t xml:space="preserve">, </w:t>
      </w:r>
      <w:r w:rsidR="00376D0F" w:rsidRPr="007C0ACA">
        <w:rPr>
          <w:i/>
        </w:rPr>
        <w:t>162</w:t>
      </w:r>
      <w:r w:rsidR="00376D0F" w:rsidRPr="007C0ACA">
        <w:t>, 250-261.</w:t>
      </w:r>
    </w:p>
    <w:p w14:paraId="454B290F" w14:textId="5072E12C"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(13)</w:t>
      </w:r>
      <w:r w:rsidR="004C4447" w:rsidRPr="007C0ACA">
        <w:rPr>
          <w:rFonts w:ascii="Calibri" w:hAnsi="Calibri" w:cs="Calibri"/>
          <w:noProof/>
          <w:szCs w:val="24"/>
        </w:rPr>
        <w:t xml:space="preserve"> Kvansakul,</w:t>
      </w:r>
      <w:r w:rsidRPr="007C0ACA">
        <w:rPr>
          <w:rFonts w:ascii="Calibri" w:hAnsi="Calibri" w:cs="Calibri"/>
          <w:noProof/>
          <w:szCs w:val="24"/>
        </w:rPr>
        <w:t xml:space="preserve"> </w:t>
      </w:r>
      <w:r w:rsidR="00376D0F" w:rsidRPr="007C0ACA">
        <w:t>M.</w:t>
      </w:r>
      <w:r w:rsidR="004C4447" w:rsidRPr="007C0ACA">
        <w:t xml:space="preserve">; Hinds, </w:t>
      </w:r>
      <w:r w:rsidR="00376D0F" w:rsidRPr="007C0ACA">
        <w:t xml:space="preserve">M. G. The Bcl-2 </w:t>
      </w:r>
      <w:r w:rsidR="00E732E4" w:rsidRPr="007C0ACA">
        <w:t>F</w:t>
      </w:r>
      <w:r w:rsidR="00376D0F" w:rsidRPr="007C0ACA">
        <w:t xml:space="preserve">amily: </w:t>
      </w:r>
      <w:r w:rsidR="00E732E4" w:rsidRPr="007C0ACA">
        <w:t>S</w:t>
      </w:r>
      <w:r w:rsidR="00376D0F" w:rsidRPr="007C0ACA">
        <w:t xml:space="preserve">tructures, </w:t>
      </w:r>
      <w:r w:rsidR="00E732E4" w:rsidRPr="007C0ACA">
        <w:t>I</w:t>
      </w:r>
      <w:r w:rsidR="00376D0F" w:rsidRPr="007C0ACA">
        <w:t xml:space="preserve">nteractions and </w:t>
      </w:r>
      <w:r w:rsidR="00E732E4" w:rsidRPr="007C0ACA">
        <w:t>T</w:t>
      </w:r>
      <w:r w:rsidR="00376D0F" w:rsidRPr="007C0ACA">
        <w:t xml:space="preserve">argets for </w:t>
      </w:r>
      <w:r w:rsidR="00E732E4" w:rsidRPr="007C0ACA">
        <w:t>D</w:t>
      </w:r>
      <w:r w:rsidR="00376D0F" w:rsidRPr="007C0ACA">
        <w:t xml:space="preserve">rug </w:t>
      </w:r>
      <w:r w:rsidR="00E732E4" w:rsidRPr="007C0ACA">
        <w:t>D</w:t>
      </w:r>
      <w:r w:rsidR="00376D0F" w:rsidRPr="007C0ACA">
        <w:t xml:space="preserve">iscovery, </w:t>
      </w:r>
      <w:r w:rsidR="00376D0F" w:rsidRPr="007C0ACA">
        <w:rPr>
          <w:i/>
        </w:rPr>
        <w:t>Apoptosis</w:t>
      </w:r>
      <w:r w:rsidR="00376D0F" w:rsidRPr="007C0ACA">
        <w:t xml:space="preserve">, </w:t>
      </w:r>
      <w:r w:rsidR="00376D0F" w:rsidRPr="007C0ACA">
        <w:rPr>
          <w:b/>
        </w:rPr>
        <w:t>2015</w:t>
      </w:r>
      <w:r w:rsidR="00376D0F" w:rsidRPr="007C0ACA">
        <w:t xml:space="preserve">, </w:t>
      </w:r>
      <w:r w:rsidR="00376D0F" w:rsidRPr="007C0ACA">
        <w:rPr>
          <w:i/>
        </w:rPr>
        <w:t>20</w:t>
      </w:r>
      <w:r w:rsidR="004C4447" w:rsidRPr="007C0ACA">
        <w:t>,</w:t>
      </w:r>
      <w:r w:rsidR="00376D0F" w:rsidRPr="007C0ACA">
        <w:t xml:space="preserve"> 136-150</w:t>
      </w:r>
      <w:r w:rsidR="00376D0F" w:rsidRPr="007C0ACA">
        <w:rPr>
          <w:rFonts w:ascii="Calibri" w:hAnsi="Calibri" w:cs="Calibri"/>
          <w:noProof/>
          <w:szCs w:val="24"/>
        </w:rPr>
        <w:t xml:space="preserve">. </w:t>
      </w:r>
    </w:p>
    <w:p w14:paraId="6F72F1C6" w14:textId="5E7ACACF"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(14) </w:t>
      </w:r>
      <w:r w:rsidR="004C4447" w:rsidRPr="007C0ACA">
        <w:rPr>
          <w:rFonts w:ascii="Calibri" w:hAnsi="Calibri" w:cs="Calibri"/>
          <w:noProof/>
          <w:szCs w:val="24"/>
        </w:rPr>
        <w:t xml:space="preserve">Kvansakul, </w:t>
      </w:r>
      <w:r w:rsidR="004C4447" w:rsidRPr="007C0ACA">
        <w:t>M.; Hinds, M. G.</w:t>
      </w:r>
      <w:r w:rsidR="00376D0F" w:rsidRPr="007C0ACA">
        <w:t xml:space="preserve"> The Structural Biology of BH3-Only Proteins, </w:t>
      </w:r>
      <w:r w:rsidR="00376D0F" w:rsidRPr="007C0ACA">
        <w:rPr>
          <w:i/>
        </w:rPr>
        <w:t>Methods Enzymol</w:t>
      </w:r>
      <w:r w:rsidR="00BF193D" w:rsidRPr="007C0ACA">
        <w:rPr>
          <w:i/>
        </w:rPr>
        <w:t>.</w:t>
      </w:r>
      <w:r w:rsidR="00376D0F" w:rsidRPr="007C0ACA">
        <w:rPr>
          <w:i/>
        </w:rPr>
        <w:t>,</w:t>
      </w:r>
      <w:r w:rsidR="00376D0F" w:rsidRPr="007C0ACA">
        <w:t xml:space="preserve"> </w:t>
      </w:r>
      <w:r w:rsidR="00376D0F" w:rsidRPr="007C0ACA">
        <w:rPr>
          <w:b/>
        </w:rPr>
        <w:t>2014</w:t>
      </w:r>
      <w:r w:rsidR="00376D0F" w:rsidRPr="007C0ACA">
        <w:t xml:space="preserve">, </w:t>
      </w:r>
      <w:r w:rsidR="00376D0F" w:rsidRPr="007C0ACA">
        <w:rPr>
          <w:i/>
        </w:rPr>
        <w:t>544</w:t>
      </w:r>
      <w:r w:rsidR="00376D0F" w:rsidRPr="007C0ACA">
        <w:t>, 49-74.</w:t>
      </w:r>
    </w:p>
    <w:p w14:paraId="27B22427" w14:textId="0874F061"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(15) </w:t>
      </w:r>
      <w:r w:rsidR="004C4447" w:rsidRPr="007C0ACA">
        <w:rPr>
          <w:rFonts w:ascii="Calibri" w:hAnsi="Calibri" w:cs="Calibri"/>
          <w:noProof/>
          <w:szCs w:val="24"/>
        </w:rPr>
        <w:t xml:space="preserve">Shamas-Din, </w:t>
      </w:r>
      <w:r w:rsidR="00376D0F" w:rsidRPr="007C0ACA">
        <w:t>A.</w:t>
      </w:r>
      <w:r w:rsidR="004C4447" w:rsidRPr="007C0ACA">
        <w:t>; Kale,</w:t>
      </w:r>
      <w:r w:rsidR="00376D0F" w:rsidRPr="007C0ACA">
        <w:t xml:space="preserve"> J.</w:t>
      </w:r>
      <w:r w:rsidR="004C4447" w:rsidRPr="007C0ACA">
        <w:t>; Leber,</w:t>
      </w:r>
      <w:r w:rsidR="00376D0F" w:rsidRPr="007C0ACA">
        <w:t xml:space="preserve"> B.</w:t>
      </w:r>
      <w:r w:rsidR="004C4447" w:rsidRPr="007C0ACA">
        <w:t xml:space="preserve">; Andrews, </w:t>
      </w:r>
      <w:r w:rsidR="00376D0F" w:rsidRPr="007C0ACA">
        <w:t xml:space="preserve">D. W. Mechanisms of Action of Bcl-2 Family Proteins, </w:t>
      </w:r>
      <w:r w:rsidR="00376D0F" w:rsidRPr="007C0ACA">
        <w:rPr>
          <w:i/>
        </w:rPr>
        <w:t>Cold Spring Harb</w:t>
      </w:r>
      <w:r w:rsidR="00BF193D" w:rsidRPr="007C0ACA">
        <w:rPr>
          <w:i/>
        </w:rPr>
        <w:t>or</w:t>
      </w:r>
      <w:r w:rsidR="00376D0F" w:rsidRPr="007C0ACA">
        <w:rPr>
          <w:i/>
        </w:rPr>
        <w:t xml:space="preserve"> Perspect. Biol.</w:t>
      </w:r>
      <w:r w:rsidR="00376D0F" w:rsidRPr="007C0ACA">
        <w:t xml:space="preserve">, </w:t>
      </w:r>
      <w:r w:rsidR="00376D0F" w:rsidRPr="007C0ACA">
        <w:rPr>
          <w:b/>
        </w:rPr>
        <w:t>2013</w:t>
      </w:r>
      <w:r w:rsidR="00376D0F" w:rsidRPr="007C0ACA">
        <w:t>,</w:t>
      </w:r>
      <w:r w:rsidR="00376D0F" w:rsidRPr="007C0ACA">
        <w:rPr>
          <w:b/>
        </w:rPr>
        <w:t xml:space="preserve"> </w:t>
      </w:r>
      <w:r w:rsidR="00376D0F" w:rsidRPr="007C0ACA">
        <w:rPr>
          <w:i/>
        </w:rPr>
        <w:t>5</w:t>
      </w:r>
      <w:r w:rsidR="00376D0F" w:rsidRPr="007C0ACA">
        <w:t xml:space="preserve">, </w:t>
      </w:r>
      <w:r w:rsidR="00376D0F" w:rsidRPr="007C0ACA">
        <w:rPr>
          <w:rFonts w:ascii="Calibri" w:hAnsi="Calibri" w:cs="Calibri"/>
          <w:noProof/>
          <w:szCs w:val="24"/>
        </w:rPr>
        <w:t xml:space="preserve">1–21. </w:t>
      </w:r>
    </w:p>
    <w:p w14:paraId="7821C34E" w14:textId="049B8268"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(16) </w:t>
      </w:r>
      <w:r w:rsidR="004C4447" w:rsidRPr="007C0ACA">
        <w:rPr>
          <w:rFonts w:ascii="Calibri" w:hAnsi="Calibri" w:cs="Calibri"/>
          <w:noProof/>
          <w:szCs w:val="24"/>
        </w:rPr>
        <w:t xml:space="preserve">Peña-Blanco, </w:t>
      </w:r>
      <w:r w:rsidR="00376D0F" w:rsidRPr="007C0ACA">
        <w:t>A.</w:t>
      </w:r>
      <w:r w:rsidR="004C4447" w:rsidRPr="007C0ACA">
        <w:t xml:space="preserve">; García-Sáez, </w:t>
      </w:r>
      <w:r w:rsidR="00376D0F" w:rsidRPr="007C0ACA">
        <w:t xml:space="preserve">A. J. Bax, Bak and </w:t>
      </w:r>
      <w:r w:rsidR="00E732E4" w:rsidRPr="007C0ACA">
        <w:t>B</w:t>
      </w:r>
      <w:r w:rsidR="00376D0F" w:rsidRPr="007C0ACA">
        <w:t xml:space="preserve">eyond - </w:t>
      </w:r>
      <w:r w:rsidR="00E732E4" w:rsidRPr="007C0ACA">
        <w:t>M</w:t>
      </w:r>
      <w:r w:rsidR="00376D0F" w:rsidRPr="007C0ACA">
        <w:t xml:space="preserve">itochondrial </w:t>
      </w:r>
      <w:r w:rsidR="00E732E4" w:rsidRPr="007C0ACA">
        <w:t>P</w:t>
      </w:r>
      <w:r w:rsidR="00376D0F" w:rsidRPr="007C0ACA">
        <w:t xml:space="preserve">erformance in </w:t>
      </w:r>
      <w:r w:rsidR="00E732E4" w:rsidRPr="007C0ACA">
        <w:t>A</w:t>
      </w:r>
      <w:r w:rsidR="00376D0F" w:rsidRPr="007C0ACA">
        <w:t xml:space="preserve">poptosis, </w:t>
      </w:r>
      <w:r w:rsidR="00376D0F" w:rsidRPr="007C0ACA">
        <w:rPr>
          <w:i/>
        </w:rPr>
        <w:t>FEBS J</w:t>
      </w:r>
      <w:r w:rsidR="00BF193D" w:rsidRPr="007C0ACA">
        <w:rPr>
          <w:i/>
        </w:rPr>
        <w:t>.</w:t>
      </w:r>
      <w:r w:rsidR="00376D0F" w:rsidRPr="007C0ACA">
        <w:t xml:space="preserve">, </w:t>
      </w:r>
      <w:r w:rsidR="00376D0F" w:rsidRPr="007C0ACA">
        <w:rPr>
          <w:b/>
        </w:rPr>
        <w:t>2018</w:t>
      </w:r>
      <w:r w:rsidR="00376D0F" w:rsidRPr="007C0ACA">
        <w:t xml:space="preserve">, </w:t>
      </w:r>
      <w:r w:rsidR="00376D0F" w:rsidRPr="007C0ACA">
        <w:rPr>
          <w:i/>
        </w:rPr>
        <w:t>285</w:t>
      </w:r>
      <w:r w:rsidR="00376D0F" w:rsidRPr="007C0ACA">
        <w:t>, 416–431</w:t>
      </w:r>
      <w:r w:rsidR="00376D0F" w:rsidRPr="007C0ACA">
        <w:rPr>
          <w:rFonts w:ascii="Calibri" w:hAnsi="Calibri" w:cs="Calibri"/>
          <w:noProof/>
          <w:szCs w:val="24"/>
        </w:rPr>
        <w:t xml:space="preserve">. </w:t>
      </w:r>
    </w:p>
    <w:p w14:paraId="424E910E" w14:textId="77918E6E"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(17) </w:t>
      </w:r>
      <w:r w:rsidR="004C4447" w:rsidRPr="007C0ACA">
        <w:rPr>
          <w:rFonts w:ascii="Calibri" w:hAnsi="Calibri" w:cs="Calibri"/>
          <w:noProof/>
          <w:szCs w:val="24"/>
        </w:rPr>
        <w:t xml:space="preserve">Todt, </w:t>
      </w:r>
      <w:r w:rsidR="00376D0F" w:rsidRPr="007C0ACA">
        <w:t>F.</w:t>
      </w:r>
      <w:r w:rsidR="004C4447" w:rsidRPr="007C0ACA">
        <w:t>; Cakir,</w:t>
      </w:r>
      <w:r w:rsidR="00376D0F" w:rsidRPr="007C0ACA">
        <w:t xml:space="preserve"> Z.</w:t>
      </w:r>
      <w:r w:rsidR="004C4447" w:rsidRPr="007C0ACA">
        <w:t>; Reichenbach,</w:t>
      </w:r>
      <w:r w:rsidR="00376D0F" w:rsidRPr="007C0ACA">
        <w:t xml:space="preserve"> F.</w:t>
      </w:r>
      <w:r w:rsidR="004C4447" w:rsidRPr="007C0ACA">
        <w:t xml:space="preserve"> Emschermann,</w:t>
      </w:r>
      <w:r w:rsidR="00376D0F" w:rsidRPr="007C0ACA">
        <w:t xml:space="preserve"> F.</w:t>
      </w:r>
      <w:r w:rsidR="004C4447" w:rsidRPr="007C0ACA">
        <w:t>; Latuerwasser,</w:t>
      </w:r>
      <w:r w:rsidR="00376D0F" w:rsidRPr="007C0ACA">
        <w:t xml:space="preserve"> J.</w:t>
      </w:r>
      <w:r w:rsidR="00F33F59" w:rsidRPr="007C0ACA">
        <w:t>; Kaiser,</w:t>
      </w:r>
      <w:r w:rsidR="00376D0F" w:rsidRPr="007C0ACA">
        <w:t xml:space="preserve"> A.</w:t>
      </w:r>
      <w:r w:rsidR="00F33F59" w:rsidRPr="007C0ACA">
        <w:t>; Ichim,</w:t>
      </w:r>
      <w:r w:rsidR="00376D0F" w:rsidRPr="007C0ACA">
        <w:t xml:space="preserve"> G.</w:t>
      </w:r>
      <w:r w:rsidR="00F33F59" w:rsidRPr="007C0ACA">
        <w:t>; Tait,</w:t>
      </w:r>
      <w:r w:rsidR="00376D0F" w:rsidRPr="007C0ACA">
        <w:t xml:space="preserve"> S. W. G.</w:t>
      </w:r>
      <w:r w:rsidR="00F33F59" w:rsidRPr="007C0ACA">
        <w:t>; Frank,</w:t>
      </w:r>
      <w:r w:rsidR="00376D0F" w:rsidRPr="007C0ACA">
        <w:t xml:space="preserve"> S.</w:t>
      </w:r>
      <w:r w:rsidR="00F33F59" w:rsidRPr="007C0ACA">
        <w:t>; Langer,</w:t>
      </w:r>
      <w:r w:rsidR="00376D0F" w:rsidRPr="007C0ACA">
        <w:t xml:space="preserve"> H. F.</w:t>
      </w:r>
      <w:r w:rsidR="00F33F59" w:rsidRPr="007C0ACA">
        <w:t xml:space="preserve">; Edlich, </w:t>
      </w:r>
      <w:r w:rsidR="00376D0F" w:rsidRPr="007C0ACA">
        <w:t xml:space="preserve">F. Differential </w:t>
      </w:r>
      <w:r w:rsidR="00E732E4" w:rsidRPr="007C0ACA">
        <w:t>R</w:t>
      </w:r>
      <w:r w:rsidR="00376D0F" w:rsidRPr="007C0ACA">
        <w:t xml:space="preserve">etrotranslocation of </w:t>
      </w:r>
      <w:r w:rsidR="00E732E4" w:rsidRPr="007C0ACA">
        <w:t>M</w:t>
      </w:r>
      <w:r w:rsidR="00376D0F" w:rsidRPr="007C0ACA">
        <w:t xml:space="preserve">itochondrial Bax and Bak. </w:t>
      </w:r>
      <w:r w:rsidR="00376D0F" w:rsidRPr="007C0ACA">
        <w:rPr>
          <w:i/>
        </w:rPr>
        <w:t>EMBO J</w:t>
      </w:r>
      <w:r w:rsidR="00BF193D" w:rsidRPr="007C0ACA">
        <w:rPr>
          <w:i/>
        </w:rPr>
        <w:t>.</w:t>
      </w:r>
      <w:r w:rsidR="00376D0F" w:rsidRPr="007C0ACA">
        <w:t xml:space="preserve">, </w:t>
      </w:r>
      <w:r w:rsidR="00376D0F" w:rsidRPr="007C0ACA">
        <w:rPr>
          <w:b/>
        </w:rPr>
        <w:t>2015</w:t>
      </w:r>
      <w:r w:rsidR="00376D0F" w:rsidRPr="007C0ACA">
        <w:t xml:space="preserve">, </w:t>
      </w:r>
      <w:r w:rsidR="00376D0F" w:rsidRPr="007C0ACA">
        <w:rPr>
          <w:i/>
        </w:rPr>
        <w:t>34</w:t>
      </w:r>
      <w:r w:rsidR="00376D0F" w:rsidRPr="007C0ACA">
        <w:t>, 67-80</w:t>
      </w:r>
      <w:r w:rsidR="00376D0F" w:rsidRPr="007C0ACA">
        <w:rPr>
          <w:rFonts w:ascii="Calibri" w:hAnsi="Calibri" w:cs="Calibri"/>
          <w:noProof/>
          <w:szCs w:val="24"/>
        </w:rPr>
        <w:t xml:space="preserve">. </w:t>
      </w:r>
    </w:p>
    <w:p w14:paraId="5B1F9A87" w14:textId="1E1069DA"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(18) </w:t>
      </w:r>
      <w:r w:rsidR="00F33F59" w:rsidRPr="007C0ACA">
        <w:rPr>
          <w:rFonts w:ascii="Calibri" w:hAnsi="Calibri" w:cs="Calibri"/>
          <w:noProof/>
          <w:szCs w:val="24"/>
        </w:rPr>
        <w:t xml:space="preserve">Schellenberg, </w:t>
      </w:r>
      <w:r w:rsidR="00376D0F" w:rsidRPr="007C0ACA">
        <w:t>B.</w:t>
      </w:r>
      <w:r w:rsidR="00F33F59" w:rsidRPr="007C0ACA">
        <w:t>; Wang,</w:t>
      </w:r>
      <w:r w:rsidR="00376D0F" w:rsidRPr="007C0ACA">
        <w:t xml:space="preserve"> P.</w:t>
      </w:r>
      <w:r w:rsidR="00F33F59" w:rsidRPr="007C0ACA">
        <w:t>; Keeble,</w:t>
      </w:r>
      <w:r w:rsidR="00376D0F" w:rsidRPr="007C0ACA">
        <w:t xml:space="preserve"> J. A.</w:t>
      </w:r>
      <w:r w:rsidR="00F33F59" w:rsidRPr="007C0ACA">
        <w:t>; Rodriguez-Enriquez,</w:t>
      </w:r>
      <w:r w:rsidR="00376D0F" w:rsidRPr="007C0ACA">
        <w:t xml:space="preserve"> R.</w:t>
      </w:r>
      <w:r w:rsidR="00F33F59" w:rsidRPr="007C0ACA">
        <w:t>; Walker,</w:t>
      </w:r>
      <w:r w:rsidR="00376D0F" w:rsidRPr="007C0ACA">
        <w:t xml:space="preserve"> S.</w:t>
      </w:r>
      <w:r w:rsidR="00F33F59" w:rsidRPr="007C0ACA">
        <w:t>; Owens,</w:t>
      </w:r>
      <w:r w:rsidR="00376D0F" w:rsidRPr="007C0ACA">
        <w:t xml:space="preserve"> T. W.</w:t>
      </w:r>
      <w:r w:rsidR="00F33F59" w:rsidRPr="007C0ACA">
        <w:t xml:space="preserve">; Foster, </w:t>
      </w:r>
      <w:r w:rsidR="00376D0F" w:rsidRPr="007C0ACA">
        <w:t>F.</w:t>
      </w:r>
      <w:r w:rsidR="00F33F59" w:rsidRPr="007C0ACA">
        <w:t>; Tanianis-Hughes,</w:t>
      </w:r>
      <w:r w:rsidR="00376D0F" w:rsidRPr="007C0ACA">
        <w:t xml:space="preserve"> J.</w:t>
      </w:r>
      <w:r w:rsidR="00F33F59" w:rsidRPr="007C0ACA">
        <w:t>; Brennan,</w:t>
      </w:r>
      <w:r w:rsidR="00376D0F" w:rsidRPr="007C0ACA">
        <w:t xml:space="preserve"> K.</w:t>
      </w:r>
      <w:r w:rsidR="00F33F59" w:rsidRPr="007C0ACA">
        <w:t>; Streuli,</w:t>
      </w:r>
      <w:r w:rsidR="00376D0F" w:rsidRPr="007C0ACA">
        <w:t xml:space="preserve"> C. H.</w:t>
      </w:r>
      <w:r w:rsidR="00F33F59" w:rsidRPr="007C0ACA">
        <w:t xml:space="preserve">; Gilmore, </w:t>
      </w:r>
      <w:r w:rsidR="00376D0F" w:rsidRPr="007C0ACA">
        <w:t xml:space="preserve">A. P. Bax Exists in a Dynamic Equilibrium </w:t>
      </w:r>
      <w:r w:rsidR="00E732E4" w:rsidRPr="007C0ACA">
        <w:t>B</w:t>
      </w:r>
      <w:r w:rsidR="00376D0F" w:rsidRPr="007C0ACA">
        <w:t xml:space="preserve">etween the Cytosol and Mitochondria to Control Apoptotic Priming, </w:t>
      </w:r>
      <w:r w:rsidR="00376D0F" w:rsidRPr="007C0ACA">
        <w:rPr>
          <w:i/>
        </w:rPr>
        <w:t>Mol</w:t>
      </w:r>
      <w:r w:rsidR="00BF193D" w:rsidRPr="007C0ACA">
        <w:rPr>
          <w:i/>
        </w:rPr>
        <w:t>.</w:t>
      </w:r>
      <w:r w:rsidR="00376D0F" w:rsidRPr="007C0ACA">
        <w:rPr>
          <w:i/>
        </w:rPr>
        <w:t xml:space="preserve"> Cell</w:t>
      </w:r>
      <w:r w:rsidR="00376D0F" w:rsidRPr="007C0ACA">
        <w:t xml:space="preserve">, </w:t>
      </w:r>
      <w:r w:rsidR="00376D0F" w:rsidRPr="007C0ACA">
        <w:rPr>
          <w:b/>
        </w:rPr>
        <w:t>2013</w:t>
      </w:r>
      <w:r w:rsidR="00376D0F" w:rsidRPr="007C0ACA">
        <w:t xml:space="preserve">, </w:t>
      </w:r>
      <w:r w:rsidR="00376D0F" w:rsidRPr="007C0ACA">
        <w:rPr>
          <w:i/>
        </w:rPr>
        <w:t>49</w:t>
      </w:r>
      <w:r w:rsidR="00376D0F" w:rsidRPr="007C0ACA">
        <w:t>, 959-971.</w:t>
      </w:r>
    </w:p>
    <w:p w14:paraId="66782214" w14:textId="1D0F17C0"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(19) </w:t>
      </w:r>
      <w:r w:rsidR="00F33F59" w:rsidRPr="007C0ACA">
        <w:rPr>
          <w:rFonts w:ascii="Calibri" w:hAnsi="Calibri" w:cs="Calibri"/>
          <w:noProof/>
          <w:szCs w:val="24"/>
        </w:rPr>
        <w:t xml:space="preserve">Gavathiotis, </w:t>
      </w:r>
      <w:r w:rsidR="00376D0F" w:rsidRPr="007C0ACA">
        <w:t>E.</w:t>
      </w:r>
      <w:r w:rsidR="00F33F59" w:rsidRPr="007C0ACA">
        <w:t>; Suzuki,</w:t>
      </w:r>
      <w:r w:rsidR="00376D0F" w:rsidRPr="007C0ACA">
        <w:t xml:space="preserve"> M.</w:t>
      </w:r>
      <w:r w:rsidR="00F33F59" w:rsidRPr="007C0ACA">
        <w:t>; Davis,</w:t>
      </w:r>
      <w:r w:rsidR="00376D0F" w:rsidRPr="007C0ACA">
        <w:t xml:space="preserve"> M. L.</w:t>
      </w:r>
      <w:r w:rsidR="00F33F59" w:rsidRPr="007C0ACA">
        <w:t>; Pitter,</w:t>
      </w:r>
      <w:r w:rsidR="00376D0F" w:rsidRPr="007C0ACA">
        <w:t xml:space="preserve"> K.</w:t>
      </w:r>
      <w:r w:rsidR="00F33F59" w:rsidRPr="007C0ACA">
        <w:t>; Bird,</w:t>
      </w:r>
      <w:r w:rsidR="00376D0F" w:rsidRPr="007C0ACA">
        <w:t xml:space="preserve"> G. H.</w:t>
      </w:r>
      <w:r w:rsidR="00F33F59" w:rsidRPr="007C0ACA">
        <w:t>; Katz,</w:t>
      </w:r>
      <w:r w:rsidR="00376D0F" w:rsidRPr="007C0ACA">
        <w:t xml:space="preserve"> S. G.</w:t>
      </w:r>
      <w:r w:rsidR="00F33F59" w:rsidRPr="007C0ACA">
        <w:t>; Tu,</w:t>
      </w:r>
      <w:r w:rsidR="00376D0F" w:rsidRPr="007C0ACA">
        <w:t xml:space="preserve"> H.</w:t>
      </w:r>
      <w:r w:rsidR="005863C2" w:rsidRPr="007C0ACA">
        <w:t>-</w:t>
      </w:r>
      <w:r w:rsidR="00376D0F" w:rsidRPr="007C0ACA">
        <w:t>C.</w:t>
      </w:r>
      <w:r w:rsidR="00F33F59" w:rsidRPr="007C0ACA">
        <w:t>; Kim,</w:t>
      </w:r>
      <w:r w:rsidR="00376D0F" w:rsidRPr="007C0ACA">
        <w:t xml:space="preserve"> H.</w:t>
      </w:r>
      <w:r w:rsidR="00F33F59" w:rsidRPr="007C0ACA">
        <w:t>; Cheng, E. H.</w:t>
      </w:r>
      <w:r w:rsidR="005863C2" w:rsidRPr="007C0ACA">
        <w:t>-</w:t>
      </w:r>
      <w:r w:rsidR="00F33F59" w:rsidRPr="007C0ACA">
        <w:t>Y.; Tjandra,</w:t>
      </w:r>
      <w:r w:rsidR="00376D0F" w:rsidRPr="007C0ACA">
        <w:t xml:space="preserve"> N.</w:t>
      </w:r>
      <w:r w:rsidR="00F33F59" w:rsidRPr="007C0ACA">
        <w:t>; Walensky,</w:t>
      </w:r>
      <w:r w:rsidR="00376D0F" w:rsidRPr="007C0ACA">
        <w:t xml:space="preserve"> L. D. </w:t>
      </w:r>
      <w:r w:rsidR="00376D0F" w:rsidRPr="007C0ACA">
        <w:rPr>
          <w:iCs/>
        </w:rPr>
        <w:t xml:space="preserve">Bax </w:t>
      </w:r>
      <w:r w:rsidR="00E732E4" w:rsidRPr="007C0ACA">
        <w:rPr>
          <w:iCs/>
        </w:rPr>
        <w:t>A</w:t>
      </w:r>
      <w:r w:rsidR="00376D0F" w:rsidRPr="007C0ACA">
        <w:rPr>
          <w:iCs/>
        </w:rPr>
        <w:t xml:space="preserve">ctivation is </w:t>
      </w:r>
      <w:r w:rsidR="00E732E4" w:rsidRPr="007C0ACA">
        <w:rPr>
          <w:iCs/>
        </w:rPr>
        <w:t>I</w:t>
      </w:r>
      <w:r w:rsidR="00376D0F" w:rsidRPr="007C0ACA">
        <w:rPr>
          <w:iCs/>
        </w:rPr>
        <w:t xml:space="preserve">nitiated at a </w:t>
      </w:r>
      <w:r w:rsidR="00E732E4" w:rsidRPr="007C0ACA">
        <w:rPr>
          <w:iCs/>
        </w:rPr>
        <w:t>N</w:t>
      </w:r>
      <w:r w:rsidR="00376D0F" w:rsidRPr="007C0ACA">
        <w:rPr>
          <w:iCs/>
        </w:rPr>
        <w:t xml:space="preserve">ovel </w:t>
      </w:r>
      <w:r w:rsidR="00E732E4" w:rsidRPr="007C0ACA">
        <w:rPr>
          <w:iCs/>
        </w:rPr>
        <w:t>I</w:t>
      </w:r>
      <w:r w:rsidR="00376D0F" w:rsidRPr="007C0ACA">
        <w:rPr>
          <w:iCs/>
        </w:rPr>
        <w:t xml:space="preserve">nteraction </w:t>
      </w:r>
      <w:r w:rsidR="00E732E4" w:rsidRPr="007C0ACA">
        <w:rPr>
          <w:iCs/>
        </w:rPr>
        <w:t>S</w:t>
      </w:r>
      <w:r w:rsidR="00376D0F" w:rsidRPr="007C0ACA">
        <w:rPr>
          <w:iCs/>
        </w:rPr>
        <w:t>ite,</w:t>
      </w:r>
      <w:r w:rsidR="00376D0F" w:rsidRPr="007C0ACA">
        <w:t xml:space="preserve"> </w:t>
      </w:r>
      <w:r w:rsidR="00376D0F" w:rsidRPr="007C0ACA">
        <w:rPr>
          <w:i/>
        </w:rPr>
        <w:t>Nature</w:t>
      </w:r>
      <w:r w:rsidR="00376D0F" w:rsidRPr="007C0ACA">
        <w:t xml:space="preserve">, </w:t>
      </w:r>
      <w:r w:rsidR="00376D0F" w:rsidRPr="007C0ACA">
        <w:rPr>
          <w:b/>
        </w:rPr>
        <w:t>2008</w:t>
      </w:r>
      <w:r w:rsidR="00376D0F" w:rsidRPr="007C0ACA">
        <w:t xml:space="preserve">, </w:t>
      </w:r>
      <w:r w:rsidR="00376D0F" w:rsidRPr="007C0ACA">
        <w:rPr>
          <w:i/>
        </w:rPr>
        <w:t>455</w:t>
      </w:r>
      <w:r w:rsidR="00376D0F" w:rsidRPr="007C0ACA">
        <w:t>, 1076-1081</w:t>
      </w:r>
      <w:r w:rsidRPr="007C0ACA">
        <w:t>.</w:t>
      </w:r>
    </w:p>
    <w:p w14:paraId="29C04ED4" w14:textId="6C329078"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w:t>
      </w:r>
      <w:r w:rsidR="00376D0F" w:rsidRPr="007C0ACA">
        <w:rPr>
          <w:rFonts w:ascii="Calibri" w:hAnsi="Calibri" w:cs="Calibri"/>
          <w:noProof/>
          <w:szCs w:val="24"/>
        </w:rPr>
        <w:t>20</w:t>
      </w:r>
      <w:r w:rsidRPr="007C0ACA">
        <w:rPr>
          <w:rFonts w:ascii="Calibri" w:hAnsi="Calibri" w:cs="Calibri"/>
          <w:noProof/>
          <w:szCs w:val="24"/>
        </w:rPr>
        <w:t xml:space="preserve">) </w:t>
      </w:r>
      <w:r w:rsidR="00F33F59" w:rsidRPr="007C0ACA">
        <w:rPr>
          <w:rFonts w:ascii="Calibri" w:hAnsi="Calibri" w:cs="Calibri"/>
          <w:noProof/>
          <w:szCs w:val="24"/>
        </w:rPr>
        <w:t xml:space="preserve">Alsop, </w:t>
      </w:r>
      <w:r w:rsidR="00376D0F" w:rsidRPr="007C0ACA">
        <w:t>A. E.</w:t>
      </w:r>
      <w:r w:rsidR="00F33F59" w:rsidRPr="007C0ACA">
        <w:t xml:space="preserve">; Fennell, </w:t>
      </w:r>
      <w:r w:rsidR="00376D0F" w:rsidRPr="007C0ACA">
        <w:t>S. C.</w:t>
      </w:r>
      <w:r w:rsidR="00F33F59" w:rsidRPr="007C0ACA">
        <w:t>; Bartolo,</w:t>
      </w:r>
      <w:r w:rsidR="00376D0F" w:rsidRPr="007C0ACA">
        <w:t xml:space="preserve"> R. C.</w:t>
      </w:r>
      <w:r w:rsidR="00F33F59" w:rsidRPr="007C0ACA">
        <w:t>; Tan,</w:t>
      </w:r>
      <w:r w:rsidR="00376D0F" w:rsidRPr="007C0ACA">
        <w:t xml:space="preserve"> I. K. L.</w:t>
      </w:r>
      <w:r w:rsidR="00F33F59" w:rsidRPr="007C0ACA">
        <w:t>; Dewson,</w:t>
      </w:r>
      <w:r w:rsidR="00376D0F" w:rsidRPr="007C0ACA">
        <w:t xml:space="preserve"> G.</w:t>
      </w:r>
      <w:r w:rsidR="00F33F59" w:rsidRPr="007C0ACA">
        <w:t>; Kluck,</w:t>
      </w:r>
      <w:r w:rsidR="00376D0F" w:rsidRPr="007C0ACA">
        <w:t xml:space="preserve"> R. M. Dissociation of Bak α1 </w:t>
      </w:r>
      <w:r w:rsidR="00E732E4" w:rsidRPr="007C0ACA">
        <w:t>H</w:t>
      </w:r>
      <w:r w:rsidR="00376D0F" w:rsidRPr="007C0ACA">
        <w:t xml:space="preserve">elix from the </w:t>
      </w:r>
      <w:r w:rsidR="00E732E4" w:rsidRPr="007C0ACA">
        <w:t>C</w:t>
      </w:r>
      <w:r w:rsidR="00376D0F" w:rsidRPr="007C0ACA">
        <w:t xml:space="preserve">ore and </w:t>
      </w:r>
      <w:r w:rsidR="00DC77A9" w:rsidRPr="007C0ACA">
        <w:t>L</w:t>
      </w:r>
      <w:r w:rsidR="00376D0F" w:rsidRPr="007C0ACA">
        <w:t xml:space="preserve">atch </w:t>
      </w:r>
      <w:r w:rsidR="00DC77A9" w:rsidRPr="007C0ACA">
        <w:t>D</w:t>
      </w:r>
      <w:r w:rsidR="00376D0F" w:rsidRPr="007C0ACA">
        <w:t xml:space="preserve">omains is </w:t>
      </w:r>
      <w:r w:rsidR="00DC77A9" w:rsidRPr="007C0ACA">
        <w:t>R</w:t>
      </w:r>
      <w:r w:rsidR="00376D0F" w:rsidRPr="007C0ACA">
        <w:t xml:space="preserve">equired for </w:t>
      </w:r>
      <w:r w:rsidR="00DC77A9" w:rsidRPr="007C0ACA">
        <w:t>A</w:t>
      </w:r>
      <w:r w:rsidR="00376D0F" w:rsidRPr="007C0ACA">
        <w:t xml:space="preserve">poptosis, </w:t>
      </w:r>
      <w:r w:rsidR="00376D0F" w:rsidRPr="007C0ACA">
        <w:rPr>
          <w:i/>
        </w:rPr>
        <w:t>Nat</w:t>
      </w:r>
      <w:r w:rsidR="00BF193D" w:rsidRPr="007C0ACA">
        <w:rPr>
          <w:i/>
        </w:rPr>
        <w:t>.</w:t>
      </w:r>
      <w:r w:rsidR="00376D0F" w:rsidRPr="007C0ACA">
        <w:rPr>
          <w:i/>
        </w:rPr>
        <w:t xml:space="preserve"> </w:t>
      </w:r>
      <w:r w:rsidR="00BF193D" w:rsidRPr="007C0ACA">
        <w:rPr>
          <w:i/>
        </w:rPr>
        <w:t>Commun.</w:t>
      </w:r>
      <w:r w:rsidR="00376D0F" w:rsidRPr="007C0ACA">
        <w:rPr>
          <w:i/>
        </w:rPr>
        <w:t xml:space="preserve">, </w:t>
      </w:r>
      <w:r w:rsidR="00376D0F" w:rsidRPr="007C0ACA">
        <w:rPr>
          <w:b/>
        </w:rPr>
        <w:t>2015</w:t>
      </w:r>
      <w:r w:rsidR="00376D0F" w:rsidRPr="007C0ACA">
        <w:t xml:space="preserve">, </w:t>
      </w:r>
      <w:r w:rsidR="00376D0F" w:rsidRPr="007C0ACA">
        <w:rPr>
          <w:i/>
        </w:rPr>
        <w:t>6</w:t>
      </w:r>
      <w:r w:rsidR="00376D0F" w:rsidRPr="007C0ACA">
        <w:t>, 1-13.</w:t>
      </w:r>
    </w:p>
    <w:p w14:paraId="519CF4A1" w14:textId="56D94031"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lastRenderedPageBreak/>
        <w:t>(</w:t>
      </w:r>
      <w:r w:rsidR="00376D0F" w:rsidRPr="007C0ACA">
        <w:rPr>
          <w:rFonts w:ascii="Calibri" w:hAnsi="Calibri" w:cs="Calibri"/>
          <w:noProof/>
          <w:szCs w:val="24"/>
        </w:rPr>
        <w:t>21</w:t>
      </w:r>
      <w:r w:rsidRPr="007C0ACA">
        <w:rPr>
          <w:rFonts w:ascii="Calibri" w:hAnsi="Calibri" w:cs="Calibri"/>
          <w:noProof/>
          <w:szCs w:val="24"/>
        </w:rPr>
        <w:t xml:space="preserve">) </w:t>
      </w:r>
      <w:r w:rsidR="00B672CB" w:rsidRPr="007C0ACA">
        <w:rPr>
          <w:rFonts w:ascii="Calibri" w:hAnsi="Calibri" w:cs="Calibri"/>
          <w:noProof/>
          <w:szCs w:val="24"/>
        </w:rPr>
        <w:t xml:space="preserve">Li, </w:t>
      </w:r>
      <w:r w:rsidR="00376D0F" w:rsidRPr="007C0ACA">
        <w:t>M. X.</w:t>
      </w:r>
      <w:r w:rsidR="00B672CB" w:rsidRPr="007C0ACA">
        <w:t>; Tan,</w:t>
      </w:r>
      <w:r w:rsidR="00376D0F" w:rsidRPr="007C0ACA">
        <w:t xml:space="preserve"> I. K. L.</w:t>
      </w:r>
      <w:r w:rsidR="00B672CB" w:rsidRPr="007C0ACA">
        <w:t>; Ma,</w:t>
      </w:r>
      <w:r w:rsidR="00376D0F" w:rsidRPr="007C0ACA">
        <w:t xml:space="preserve"> S. B.</w:t>
      </w:r>
      <w:r w:rsidR="00B672CB" w:rsidRPr="007C0ACA">
        <w:t>; Hockings,</w:t>
      </w:r>
      <w:r w:rsidR="00376D0F" w:rsidRPr="007C0ACA">
        <w:t xml:space="preserve"> C.</w:t>
      </w:r>
      <w:r w:rsidR="00B672CB" w:rsidRPr="007C0ACA">
        <w:t>; Kratina,</w:t>
      </w:r>
      <w:r w:rsidR="00376D0F" w:rsidRPr="007C0ACA">
        <w:t xml:space="preserve"> T.</w:t>
      </w:r>
      <w:r w:rsidR="00B672CB" w:rsidRPr="007C0ACA">
        <w:t xml:space="preserve">; Dengler, </w:t>
      </w:r>
      <w:r w:rsidR="00376D0F" w:rsidRPr="007C0ACA">
        <w:t xml:space="preserve"> M. A.</w:t>
      </w:r>
      <w:r w:rsidR="00B672CB" w:rsidRPr="007C0ACA">
        <w:t>;</w:t>
      </w:r>
      <w:r w:rsidR="003C02CC" w:rsidRPr="007C0ACA">
        <w:t xml:space="preserve"> Alsop, </w:t>
      </w:r>
      <w:r w:rsidR="00376D0F" w:rsidRPr="007C0ACA">
        <w:t xml:space="preserve"> A. E.</w:t>
      </w:r>
      <w:r w:rsidR="003C02CC" w:rsidRPr="007C0ACA">
        <w:t>; Kluck,</w:t>
      </w:r>
      <w:r w:rsidR="00376D0F" w:rsidRPr="007C0ACA">
        <w:t xml:space="preserve"> R. M.</w:t>
      </w:r>
      <w:r w:rsidR="003C02CC" w:rsidRPr="007C0ACA">
        <w:t>; Dewson,</w:t>
      </w:r>
      <w:r w:rsidR="00376D0F" w:rsidRPr="007C0ACA">
        <w:t xml:space="preserve"> G. </w:t>
      </w:r>
      <w:r w:rsidR="00376D0F" w:rsidRPr="007C0ACA">
        <w:rPr>
          <w:iCs/>
        </w:rPr>
        <w:t xml:space="preserve">BAK α6 </w:t>
      </w:r>
      <w:r w:rsidR="00DC77A9" w:rsidRPr="007C0ACA">
        <w:rPr>
          <w:iCs/>
        </w:rPr>
        <w:t>P</w:t>
      </w:r>
      <w:r w:rsidR="00376D0F" w:rsidRPr="007C0ACA">
        <w:rPr>
          <w:iCs/>
        </w:rPr>
        <w:t xml:space="preserve">ermits </w:t>
      </w:r>
      <w:r w:rsidR="00DC77A9" w:rsidRPr="007C0ACA">
        <w:rPr>
          <w:iCs/>
        </w:rPr>
        <w:t>A</w:t>
      </w:r>
      <w:r w:rsidR="00376D0F" w:rsidRPr="007C0ACA">
        <w:rPr>
          <w:iCs/>
        </w:rPr>
        <w:t>ctivation by BH3-</w:t>
      </w:r>
      <w:r w:rsidR="00DC77A9" w:rsidRPr="007C0ACA">
        <w:rPr>
          <w:iCs/>
        </w:rPr>
        <w:t>O</w:t>
      </w:r>
      <w:r w:rsidR="00376D0F" w:rsidRPr="007C0ACA">
        <w:rPr>
          <w:iCs/>
        </w:rPr>
        <w:t xml:space="preserve">nly </w:t>
      </w:r>
      <w:r w:rsidR="00DC77A9" w:rsidRPr="007C0ACA">
        <w:rPr>
          <w:iCs/>
        </w:rPr>
        <w:t>P</w:t>
      </w:r>
      <w:r w:rsidR="00376D0F" w:rsidRPr="007C0ACA">
        <w:rPr>
          <w:iCs/>
        </w:rPr>
        <w:t xml:space="preserve">roteins and </w:t>
      </w:r>
      <w:r w:rsidR="00DC77A9" w:rsidRPr="007C0ACA">
        <w:rPr>
          <w:iCs/>
        </w:rPr>
        <w:t>H</w:t>
      </w:r>
      <w:r w:rsidR="00376D0F" w:rsidRPr="007C0ACA">
        <w:rPr>
          <w:iCs/>
        </w:rPr>
        <w:t xml:space="preserve">omooligomerization via the </w:t>
      </w:r>
      <w:r w:rsidR="00DC77A9" w:rsidRPr="007C0ACA">
        <w:rPr>
          <w:iCs/>
        </w:rPr>
        <w:t>C</w:t>
      </w:r>
      <w:r w:rsidR="00376D0F" w:rsidRPr="007C0ACA">
        <w:rPr>
          <w:iCs/>
        </w:rPr>
        <w:t xml:space="preserve">anonical </w:t>
      </w:r>
      <w:r w:rsidR="00DC77A9" w:rsidRPr="007C0ACA">
        <w:rPr>
          <w:iCs/>
        </w:rPr>
        <w:t>H</w:t>
      </w:r>
      <w:r w:rsidR="00376D0F" w:rsidRPr="007C0ACA">
        <w:rPr>
          <w:iCs/>
        </w:rPr>
        <w:t xml:space="preserve">ydrophobic </w:t>
      </w:r>
      <w:r w:rsidR="00DC77A9" w:rsidRPr="007C0ACA">
        <w:rPr>
          <w:iCs/>
        </w:rPr>
        <w:t>G</w:t>
      </w:r>
      <w:r w:rsidR="00376D0F" w:rsidRPr="007C0ACA">
        <w:rPr>
          <w:iCs/>
        </w:rPr>
        <w:t>roove</w:t>
      </w:r>
      <w:r w:rsidR="00376D0F" w:rsidRPr="007C0ACA">
        <w:t xml:space="preserve">. </w:t>
      </w:r>
      <w:r w:rsidR="00376D0F" w:rsidRPr="007C0ACA">
        <w:rPr>
          <w:i/>
        </w:rPr>
        <w:t>Proc. Natl. Acad. Sci. U</w:t>
      </w:r>
      <w:r w:rsidR="00BF193D" w:rsidRPr="007C0ACA">
        <w:rPr>
          <w:i/>
        </w:rPr>
        <w:t xml:space="preserve">. </w:t>
      </w:r>
      <w:r w:rsidR="00376D0F" w:rsidRPr="007C0ACA">
        <w:rPr>
          <w:i/>
        </w:rPr>
        <w:t>S</w:t>
      </w:r>
      <w:r w:rsidR="00BF193D" w:rsidRPr="007C0ACA">
        <w:rPr>
          <w:i/>
        </w:rPr>
        <w:t xml:space="preserve">. </w:t>
      </w:r>
      <w:r w:rsidR="00376D0F" w:rsidRPr="007C0ACA">
        <w:rPr>
          <w:i/>
        </w:rPr>
        <w:t>A</w:t>
      </w:r>
      <w:r w:rsidR="00376D0F" w:rsidRPr="007C0ACA">
        <w:t>.</w:t>
      </w:r>
      <w:r w:rsidR="00BF193D" w:rsidRPr="007C0ACA">
        <w:t>,</w:t>
      </w:r>
      <w:r w:rsidR="00376D0F" w:rsidRPr="007C0ACA">
        <w:t xml:space="preserve"> </w:t>
      </w:r>
      <w:r w:rsidR="00376D0F" w:rsidRPr="007C0ACA">
        <w:rPr>
          <w:b/>
        </w:rPr>
        <w:t>2017</w:t>
      </w:r>
      <w:r w:rsidR="00376D0F" w:rsidRPr="007C0ACA">
        <w:t xml:space="preserve">, </w:t>
      </w:r>
      <w:r w:rsidR="00376D0F" w:rsidRPr="007C0ACA">
        <w:rPr>
          <w:i/>
        </w:rPr>
        <w:t>114</w:t>
      </w:r>
      <w:r w:rsidR="00376D0F" w:rsidRPr="007C0ACA">
        <w:t>, 7629-7634</w:t>
      </w:r>
      <w:r w:rsidR="00376D0F" w:rsidRPr="007C0ACA">
        <w:rPr>
          <w:rFonts w:ascii="Calibri" w:hAnsi="Calibri" w:cs="Calibri"/>
          <w:noProof/>
          <w:szCs w:val="24"/>
        </w:rPr>
        <w:t xml:space="preserve">. </w:t>
      </w:r>
    </w:p>
    <w:p w14:paraId="0D61A79F" w14:textId="6BEA2166"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(22) </w:t>
      </w:r>
      <w:r w:rsidR="003C02CC" w:rsidRPr="007C0ACA">
        <w:rPr>
          <w:rFonts w:ascii="Calibri" w:hAnsi="Calibri" w:cs="Calibri"/>
          <w:noProof/>
          <w:szCs w:val="24"/>
        </w:rPr>
        <w:t xml:space="preserve">Dai, </w:t>
      </w:r>
      <w:r w:rsidR="00376D0F" w:rsidRPr="007C0ACA">
        <w:t>H.</w:t>
      </w:r>
      <w:r w:rsidR="003C02CC" w:rsidRPr="007C0ACA">
        <w:t>; Smith,</w:t>
      </w:r>
      <w:r w:rsidR="00376D0F" w:rsidRPr="007C0ACA">
        <w:t xml:space="preserve"> A.</w:t>
      </w:r>
      <w:r w:rsidR="003C02CC" w:rsidRPr="007C0ACA">
        <w:t>; Meng,</w:t>
      </w:r>
      <w:r w:rsidR="00376D0F" w:rsidRPr="007C0ACA">
        <w:t xml:space="preserve"> X. W.</w:t>
      </w:r>
      <w:r w:rsidR="003C02CC" w:rsidRPr="007C0ACA">
        <w:t>; Schneider,</w:t>
      </w:r>
      <w:r w:rsidR="00376D0F" w:rsidRPr="007C0ACA">
        <w:t xml:space="preserve"> P. A.</w:t>
      </w:r>
      <w:r w:rsidR="003C02CC" w:rsidRPr="007C0ACA">
        <w:t>; Pang,</w:t>
      </w:r>
      <w:r w:rsidR="00376D0F" w:rsidRPr="007C0ACA">
        <w:t xml:space="preserve"> Y. P.</w:t>
      </w:r>
      <w:r w:rsidR="003C02CC" w:rsidRPr="007C0ACA">
        <w:t xml:space="preserve">;  Kaufmann, </w:t>
      </w:r>
      <w:r w:rsidR="00376D0F" w:rsidRPr="007C0ACA">
        <w:t xml:space="preserve">S. H. </w:t>
      </w:r>
      <w:r w:rsidR="00376D0F" w:rsidRPr="007C0ACA">
        <w:rPr>
          <w:iCs/>
        </w:rPr>
        <w:t xml:space="preserve">Transient </w:t>
      </w:r>
      <w:r w:rsidR="00DC77A9" w:rsidRPr="007C0ACA">
        <w:rPr>
          <w:iCs/>
        </w:rPr>
        <w:t>B</w:t>
      </w:r>
      <w:r w:rsidR="00376D0F" w:rsidRPr="007C0ACA">
        <w:rPr>
          <w:iCs/>
        </w:rPr>
        <w:t xml:space="preserve">inding of an </w:t>
      </w:r>
      <w:r w:rsidR="00DC77A9" w:rsidRPr="007C0ACA">
        <w:rPr>
          <w:iCs/>
        </w:rPr>
        <w:t>A</w:t>
      </w:r>
      <w:r w:rsidR="00376D0F" w:rsidRPr="007C0ACA">
        <w:rPr>
          <w:iCs/>
        </w:rPr>
        <w:t xml:space="preserve">ctivator BH3 </w:t>
      </w:r>
      <w:r w:rsidR="00DC77A9" w:rsidRPr="007C0ACA">
        <w:rPr>
          <w:iCs/>
        </w:rPr>
        <w:t>D</w:t>
      </w:r>
      <w:r w:rsidR="00376D0F" w:rsidRPr="007C0ACA">
        <w:rPr>
          <w:iCs/>
        </w:rPr>
        <w:t>omain to the Bak BH3-</w:t>
      </w:r>
      <w:r w:rsidR="00DC77A9" w:rsidRPr="007C0ACA">
        <w:rPr>
          <w:iCs/>
        </w:rPr>
        <w:t>B</w:t>
      </w:r>
      <w:r w:rsidR="00376D0F" w:rsidRPr="007C0ACA">
        <w:rPr>
          <w:iCs/>
        </w:rPr>
        <w:t xml:space="preserve">inding </w:t>
      </w:r>
      <w:r w:rsidR="00DC77A9" w:rsidRPr="007C0ACA">
        <w:rPr>
          <w:iCs/>
        </w:rPr>
        <w:t>G</w:t>
      </w:r>
      <w:r w:rsidR="00376D0F" w:rsidRPr="007C0ACA">
        <w:rPr>
          <w:iCs/>
        </w:rPr>
        <w:t xml:space="preserve">roove </w:t>
      </w:r>
      <w:r w:rsidR="00DC77A9" w:rsidRPr="007C0ACA">
        <w:rPr>
          <w:iCs/>
        </w:rPr>
        <w:t>I</w:t>
      </w:r>
      <w:r w:rsidR="00376D0F" w:rsidRPr="007C0ACA">
        <w:rPr>
          <w:iCs/>
        </w:rPr>
        <w:t xml:space="preserve">nitiates Bak </w:t>
      </w:r>
      <w:r w:rsidR="00DC77A9" w:rsidRPr="007C0ACA">
        <w:rPr>
          <w:iCs/>
        </w:rPr>
        <w:t>O</w:t>
      </w:r>
      <w:r w:rsidR="00376D0F" w:rsidRPr="007C0ACA">
        <w:rPr>
          <w:iCs/>
        </w:rPr>
        <w:t>ligomerization,</w:t>
      </w:r>
      <w:r w:rsidR="00376D0F" w:rsidRPr="007C0ACA">
        <w:rPr>
          <w:i/>
          <w:iCs/>
        </w:rPr>
        <w:t xml:space="preserve"> </w:t>
      </w:r>
      <w:r w:rsidR="00376D0F" w:rsidRPr="007C0ACA">
        <w:rPr>
          <w:i/>
        </w:rPr>
        <w:t>J. Cell Biol</w:t>
      </w:r>
      <w:r w:rsidR="00376D0F" w:rsidRPr="007C0ACA">
        <w:t xml:space="preserve">., </w:t>
      </w:r>
      <w:r w:rsidR="00376D0F" w:rsidRPr="007C0ACA">
        <w:rPr>
          <w:b/>
        </w:rPr>
        <w:t>2011</w:t>
      </w:r>
      <w:r w:rsidR="00376D0F" w:rsidRPr="007C0ACA">
        <w:t xml:space="preserve">, </w:t>
      </w:r>
      <w:r w:rsidR="00376D0F" w:rsidRPr="007C0ACA">
        <w:rPr>
          <w:i/>
        </w:rPr>
        <w:t>194</w:t>
      </w:r>
      <w:r w:rsidR="00376D0F" w:rsidRPr="007C0ACA">
        <w:t>, 39-48</w:t>
      </w:r>
      <w:r w:rsidR="00376D0F" w:rsidRPr="007C0ACA">
        <w:rPr>
          <w:rFonts w:ascii="Calibri" w:hAnsi="Calibri" w:cs="Calibri"/>
          <w:noProof/>
          <w:szCs w:val="24"/>
        </w:rPr>
        <w:t xml:space="preserve">. </w:t>
      </w:r>
    </w:p>
    <w:p w14:paraId="76683E26" w14:textId="0803F2B1"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(23) </w:t>
      </w:r>
      <w:r w:rsidR="003C02CC" w:rsidRPr="007C0ACA">
        <w:rPr>
          <w:rFonts w:ascii="Calibri" w:hAnsi="Calibri" w:cs="Calibri"/>
          <w:noProof/>
          <w:szCs w:val="24"/>
        </w:rPr>
        <w:t xml:space="preserve">Brouwer, </w:t>
      </w:r>
      <w:r w:rsidR="00376D0F" w:rsidRPr="007C0ACA">
        <w:t>J. M.</w:t>
      </w:r>
      <w:r w:rsidR="003C02CC" w:rsidRPr="007C0ACA">
        <w:t>; Westphal,</w:t>
      </w:r>
      <w:r w:rsidR="00376D0F" w:rsidRPr="007C0ACA">
        <w:t xml:space="preserve"> D.</w:t>
      </w:r>
      <w:r w:rsidR="003C02CC" w:rsidRPr="007C0ACA">
        <w:t>; Dewson,</w:t>
      </w:r>
      <w:r w:rsidR="00376D0F" w:rsidRPr="007C0ACA">
        <w:t xml:space="preserve"> G.</w:t>
      </w:r>
      <w:r w:rsidR="003C02CC" w:rsidRPr="007C0ACA">
        <w:t xml:space="preserve"> Robin,</w:t>
      </w:r>
      <w:r w:rsidR="00376D0F" w:rsidRPr="007C0ACA">
        <w:t xml:space="preserve"> A. Y.</w:t>
      </w:r>
      <w:r w:rsidR="003C02CC" w:rsidRPr="007C0ACA">
        <w:t>; Uren,</w:t>
      </w:r>
      <w:r w:rsidR="00376D0F" w:rsidRPr="007C0ACA">
        <w:t xml:space="preserve"> R. T.</w:t>
      </w:r>
      <w:r w:rsidR="003C02CC" w:rsidRPr="007C0ACA">
        <w:t>; Bartolo,</w:t>
      </w:r>
      <w:r w:rsidR="00376D0F" w:rsidRPr="007C0ACA">
        <w:t xml:space="preserve"> R.</w:t>
      </w:r>
      <w:r w:rsidR="003C02CC" w:rsidRPr="007C0ACA">
        <w:t>; Thompson,</w:t>
      </w:r>
      <w:r w:rsidR="00376D0F" w:rsidRPr="007C0ACA">
        <w:t xml:space="preserve"> G. V.</w:t>
      </w:r>
      <w:r w:rsidR="003C02CC" w:rsidRPr="007C0ACA">
        <w:t>; Colman,</w:t>
      </w:r>
      <w:r w:rsidR="00376D0F" w:rsidRPr="007C0ACA">
        <w:t xml:space="preserve"> P. M.</w:t>
      </w:r>
      <w:r w:rsidR="003C02CC" w:rsidRPr="007C0ACA">
        <w:t>; Kluck,</w:t>
      </w:r>
      <w:r w:rsidR="00376D0F" w:rsidRPr="007C0ACA">
        <w:t xml:space="preserve"> R. M.</w:t>
      </w:r>
      <w:r w:rsidR="003C02CC" w:rsidRPr="007C0ACA">
        <w:t>; Czabotar,</w:t>
      </w:r>
      <w:r w:rsidR="00376D0F" w:rsidRPr="007C0ACA">
        <w:t xml:space="preserve"> P. E. Bak </w:t>
      </w:r>
      <w:r w:rsidR="00DC77A9" w:rsidRPr="007C0ACA">
        <w:t>C</w:t>
      </w:r>
      <w:r w:rsidR="00376D0F" w:rsidRPr="007C0ACA">
        <w:t xml:space="preserve">ore and </w:t>
      </w:r>
      <w:r w:rsidR="00DC77A9" w:rsidRPr="007C0ACA">
        <w:t>L</w:t>
      </w:r>
      <w:r w:rsidR="00376D0F" w:rsidRPr="007C0ACA">
        <w:t xml:space="preserve">atch </w:t>
      </w:r>
      <w:r w:rsidR="00DC77A9" w:rsidRPr="007C0ACA">
        <w:t>D</w:t>
      </w:r>
      <w:r w:rsidR="00376D0F" w:rsidRPr="007C0ACA">
        <w:t xml:space="preserve">omains </w:t>
      </w:r>
      <w:r w:rsidR="00DC77A9" w:rsidRPr="007C0ACA">
        <w:t>S</w:t>
      </w:r>
      <w:r w:rsidR="00376D0F" w:rsidRPr="007C0ACA">
        <w:t xml:space="preserve">eparate </w:t>
      </w:r>
      <w:r w:rsidR="00DC77A9" w:rsidRPr="007C0ACA">
        <w:t>D</w:t>
      </w:r>
      <w:r w:rsidR="00376D0F" w:rsidRPr="007C0ACA">
        <w:t xml:space="preserve">uring </w:t>
      </w:r>
      <w:r w:rsidR="00DC77A9" w:rsidRPr="007C0ACA">
        <w:t>A</w:t>
      </w:r>
      <w:r w:rsidR="00376D0F" w:rsidRPr="007C0ACA">
        <w:t xml:space="preserve">ctivation, and </w:t>
      </w:r>
      <w:r w:rsidR="00DC77A9" w:rsidRPr="007C0ACA">
        <w:t>F</w:t>
      </w:r>
      <w:r w:rsidR="00376D0F" w:rsidRPr="007C0ACA">
        <w:t xml:space="preserve">reed </w:t>
      </w:r>
      <w:r w:rsidR="00DC77A9" w:rsidRPr="007C0ACA">
        <w:t>C</w:t>
      </w:r>
      <w:r w:rsidR="00376D0F" w:rsidRPr="007C0ACA">
        <w:t xml:space="preserve">ore </w:t>
      </w:r>
      <w:r w:rsidR="00DC77A9" w:rsidRPr="007C0ACA">
        <w:t>D</w:t>
      </w:r>
      <w:r w:rsidR="00376D0F" w:rsidRPr="007C0ACA">
        <w:t xml:space="preserve">omains form </w:t>
      </w:r>
      <w:r w:rsidR="00DC77A9" w:rsidRPr="007C0ACA">
        <w:t>S</w:t>
      </w:r>
      <w:r w:rsidR="00376D0F" w:rsidRPr="007C0ACA">
        <w:t xml:space="preserve">ymmetric </w:t>
      </w:r>
      <w:r w:rsidR="00DC77A9" w:rsidRPr="007C0ACA">
        <w:t>H</w:t>
      </w:r>
      <w:r w:rsidR="00376D0F" w:rsidRPr="007C0ACA">
        <w:t xml:space="preserve">omodimers, </w:t>
      </w:r>
      <w:r w:rsidR="00376D0F" w:rsidRPr="007C0ACA">
        <w:rPr>
          <w:i/>
        </w:rPr>
        <w:t>Mol</w:t>
      </w:r>
      <w:r w:rsidR="00D461A5" w:rsidRPr="007C0ACA">
        <w:rPr>
          <w:i/>
        </w:rPr>
        <w:t>.</w:t>
      </w:r>
      <w:r w:rsidR="00376D0F" w:rsidRPr="007C0ACA">
        <w:rPr>
          <w:i/>
        </w:rPr>
        <w:t xml:space="preserve"> Cell, </w:t>
      </w:r>
      <w:r w:rsidR="00376D0F" w:rsidRPr="007C0ACA">
        <w:rPr>
          <w:b/>
        </w:rPr>
        <w:t>2014</w:t>
      </w:r>
      <w:r w:rsidR="00376D0F" w:rsidRPr="007C0ACA">
        <w:t xml:space="preserve">, </w:t>
      </w:r>
      <w:r w:rsidR="00376D0F" w:rsidRPr="007C0ACA">
        <w:rPr>
          <w:i/>
        </w:rPr>
        <w:t>55</w:t>
      </w:r>
      <w:r w:rsidR="00376D0F" w:rsidRPr="007C0ACA">
        <w:t>, 938-946.</w:t>
      </w:r>
    </w:p>
    <w:p w14:paraId="18252B46" w14:textId="3EBD5E38"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(24) </w:t>
      </w:r>
      <w:r w:rsidR="003C02CC" w:rsidRPr="007C0ACA">
        <w:rPr>
          <w:rFonts w:ascii="Calibri" w:hAnsi="Calibri" w:cs="Calibri"/>
          <w:noProof/>
          <w:szCs w:val="24"/>
        </w:rPr>
        <w:t xml:space="preserve">Iyer, </w:t>
      </w:r>
      <w:r w:rsidR="00376D0F" w:rsidRPr="007C0ACA">
        <w:t>S.</w:t>
      </w:r>
      <w:r w:rsidR="003C02CC" w:rsidRPr="007C0ACA">
        <w:t>; Anwari,</w:t>
      </w:r>
      <w:r w:rsidR="00376D0F" w:rsidRPr="007C0ACA">
        <w:t xml:space="preserve"> K.</w:t>
      </w:r>
      <w:r w:rsidR="003C02CC" w:rsidRPr="007C0ACA">
        <w:t>; Alsop,</w:t>
      </w:r>
      <w:r w:rsidR="00376D0F" w:rsidRPr="007C0ACA">
        <w:t xml:space="preserve"> A. E.</w:t>
      </w:r>
      <w:r w:rsidR="003C02CC" w:rsidRPr="007C0ACA">
        <w:t>; Yuen,</w:t>
      </w:r>
      <w:r w:rsidR="00376D0F" w:rsidRPr="007C0ACA">
        <w:t xml:space="preserve"> S. W.</w:t>
      </w:r>
      <w:r w:rsidR="003C02CC" w:rsidRPr="007C0ACA">
        <w:t>; Huang,</w:t>
      </w:r>
      <w:r w:rsidR="00376D0F" w:rsidRPr="007C0ACA">
        <w:t xml:space="preserve"> D. C. S.</w:t>
      </w:r>
      <w:r w:rsidR="003C02CC" w:rsidRPr="007C0ACA">
        <w:t>; Carroll,</w:t>
      </w:r>
      <w:r w:rsidR="00376D0F" w:rsidRPr="007C0ACA">
        <w:t xml:space="preserve"> J.</w:t>
      </w:r>
      <w:r w:rsidR="003C02CC" w:rsidRPr="007C0ACA">
        <w:t>; Smith,</w:t>
      </w:r>
      <w:r w:rsidR="00376D0F" w:rsidRPr="007C0ACA">
        <w:t xml:space="preserve"> N. A.</w:t>
      </w:r>
      <w:r w:rsidR="003C02CC" w:rsidRPr="007C0ACA">
        <w:t>; Smith,</w:t>
      </w:r>
      <w:r w:rsidR="00376D0F" w:rsidRPr="007C0ACA">
        <w:t xml:space="preserve"> B. J.</w:t>
      </w:r>
      <w:r w:rsidR="003C02CC" w:rsidRPr="007C0ACA">
        <w:t>; Dewson,</w:t>
      </w:r>
      <w:r w:rsidR="00376D0F" w:rsidRPr="007C0ACA">
        <w:t xml:space="preserve"> G</w:t>
      </w:r>
      <w:r w:rsidR="003C02CC" w:rsidRPr="007C0ACA">
        <w:t>.; Kluck, R.</w:t>
      </w:r>
      <w:r w:rsidR="00376D0F" w:rsidRPr="007C0ACA">
        <w:t xml:space="preserve"> Identification of an </w:t>
      </w:r>
      <w:r w:rsidR="00DC77A9" w:rsidRPr="007C0ACA">
        <w:t>A</w:t>
      </w:r>
      <w:r w:rsidR="00376D0F" w:rsidRPr="007C0ACA">
        <w:t xml:space="preserve">ctivation </w:t>
      </w:r>
      <w:r w:rsidR="00DC77A9" w:rsidRPr="007C0ACA">
        <w:t>S</w:t>
      </w:r>
      <w:r w:rsidR="00376D0F" w:rsidRPr="007C0ACA">
        <w:t xml:space="preserve">ite in Bak and </w:t>
      </w:r>
      <w:r w:rsidR="00DC77A9" w:rsidRPr="007C0ACA">
        <w:t>M</w:t>
      </w:r>
      <w:r w:rsidR="00376D0F" w:rsidRPr="007C0ACA">
        <w:t xml:space="preserve">itochondrial Bax </w:t>
      </w:r>
      <w:r w:rsidR="00DC77A9" w:rsidRPr="007C0ACA">
        <w:t>T</w:t>
      </w:r>
      <w:r w:rsidR="00376D0F" w:rsidRPr="007C0ACA">
        <w:t xml:space="preserve">riggered by </w:t>
      </w:r>
      <w:r w:rsidR="00DC77A9" w:rsidRPr="007C0ACA">
        <w:t>A</w:t>
      </w:r>
      <w:r w:rsidR="00376D0F" w:rsidRPr="007C0ACA">
        <w:t xml:space="preserve">ntibodies, </w:t>
      </w:r>
      <w:r w:rsidR="00376D0F" w:rsidRPr="007C0ACA">
        <w:rPr>
          <w:i/>
        </w:rPr>
        <w:t>Nat</w:t>
      </w:r>
      <w:r w:rsidR="00D461A5" w:rsidRPr="007C0ACA">
        <w:rPr>
          <w:i/>
        </w:rPr>
        <w:t>.</w:t>
      </w:r>
      <w:r w:rsidR="00376D0F" w:rsidRPr="007C0ACA">
        <w:rPr>
          <w:i/>
        </w:rPr>
        <w:t xml:space="preserve"> Commun</w:t>
      </w:r>
      <w:r w:rsidR="00D461A5" w:rsidRPr="007C0ACA">
        <w:rPr>
          <w:i/>
        </w:rPr>
        <w:t>.</w:t>
      </w:r>
      <w:r w:rsidR="00376D0F" w:rsidRPr="007C0ACA">
        <w:rPr>
          <w:i/>
        </w:rPr>
        <w:t>,</w:t>
      </w:r>
      <w:r w:rsidR="00376D0F" w:rsidRPr="007C0ACA">
        <w:t xml:space="preserve"> </w:t>
      </w:r>
      <w:r w:rsidR="00376D0F" w:rsidRPr="007C0ACA">
        <w:rPr>
          <w:b/>
        </w:rPr>
        <w:t>2016</w:t>
      </w:r>
      <w:r w:rsidR="00376D0F" w:rsidRPr="007C0ACA">
        <w:t xml:space="preserve">, </w:t>
      </w:r>
      <w:r w:rsidR="00376D0F" w:rsidRPr="007C0ACA">
        <w:rPr>
          <w:i/>
        </w:rPr>
        <w:t>7</w:t>
      </w:r>
      <w:r w:rsidR="00376D0F" w:rsidRPr="007C0ACA">
        <w:t>, 1-10.</w:t>
      </w:r>
    </w:p>
    <w:p w14:paraId="64F9CC75" w14:textId="20EE325E"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(25) </w:t>
      </w:r>
      <w:r w:rsidR="003C02CC" w:rsidRPr="007C0ACA">
        <w:rPr>
          <w:rFonts w:ascii="Calibri" w:hAnsi="Calibri" w:cs="Calibri"/>
          <w:noProof/>
          <w:szCs w:val="24"/>
        </w:rPr>
        <w:t xml:space="preserve">Moldoveanu, </w:t>
      </w:r>
      <w:r w:rsidR="00376D0F" w:rsidRPr="007C0ACA">
        <w:t>T.</w:t>
      </w:r>
      <w:r w:rsidR="003C02CC" w:rsidRPr="007C0ACA">
        <w:t>; Grace,</w:t>
      </w:r>
      <w:r w:rsidR="00376D0F" w:rsidRPr="007C0ACA">
        <w:t xml:space="preserve"> C. R.</w:t>
      </w:r>
      <w:r w:rsidR="003C02CC" w:rsidRPr="007C0ACA">
        <w:t>; Llambi,</w:t>
      </w:r>
      <w:r w:rsidR="00376D0F" w:rsidRPr="007C0ACA">
        <w:t xml:space="preserve"> F.</w:t>
      </w:r>
      <w:r w:rsidR="003C02CC" w:rsidRPr="007C0ACA">
        <w:t>; Nourse,</w:t>
      </w:r>
      <w:r w:rsidR="00376D0F" w:rsidRPr="007C0ACA">
        <w:t xml:space="preserve"> A.</w:t>
      </w:r>
      <w:r w:rsidR="003C02CC" w:rsidRPr="007C0ACA">
        <w:t xml:space="preserve">; Fitzgerald, </w:t>
      </w:r>
      <w:r w:rsidR="00376D0F" w:rsidRPr="007C0ACA">
        <w:t>P.</w:t>
      </w:r>
      <w:r w:rsidR="003C02CC" w:rsidRPr="007C0ACA">
        <w:t>; Gehring,</w:t>
      </w:r>
      <w:r w:rsidR="00376D0F" w:rsidRPr="007C0ACA">
        <w:t xml:space="preserve"> K.</w:t>
      </w:r>
      <w:r w:rsidR="003C02CC" w:rsidRPr="007C0ACA">
        <w:t>; Kriwacki,</w:t>
      </w:r>
      <w:r w:rsidR="00376D0F" w:rsidRPr="007C0ACA">
        <w:t xml:space="preserve"> R. W.</w:t>
      </w:r>
      <w:r w:rsidR="003C02CC" w:rsidRPr="007C0ACA">
        <w:t xml:space="preserve">; Green, </w:t>
      </w:r>
      <w:r w:rsidR="00376D0F" w:rsidRPr="007C0ACA">
        <w:t xml:space="preserve">D. R. </w:t>
      </w:r>
      <w:r w:rsidR="00376D0F" w:rsidRPr="007C0ACA">
        <w:rPr>
          <w:iCs/>
        </w:rPr>
        <w:t>BID-</w:t>
      </w:r>
      <w:r w:rsidR="00DC77A9" w:rsidRPr="007C0ACA">
        <w:rPr>
          <w:iCs/>
        </w:rPr>
        <w:t>I</w:t>
      </w:r>
      <w:r w:rsidR="00376D0F" w:rsidRPr="007C0ACA">
        <w:rPr>
          <w:iCs/>
        </w:rPr>
        <w:t xml:space="preserve">nduced </w:t>
      </w:r>
      <w:r w:rsidR="00DC77A9" w:rsidRPr="007C0ACA">
        <w:rPr>
          <w:iCs/>
        </w:rPr>
        <w:t>S</w:t>
      </w:r>
      <w:r w:rsidR="00376D0F" w:rsidRPr="007C0ACA">
        <w:rPr>
          <w:iCs/>
        </w:rPr>
        <w:t xml:space="preserve">tructural </w:t>
      </w:r>
      <w:r w:rsidR="00DC77A9" w:rsidRPr="007C0ACA">
        <w:rPr>
          <w:iCs/>
        </w:rPr>
        <w:t>C</w:t>
      </w:r>
      <w:r w:rsidR="00376D0F" w:rsidRPr="007C0ACA">
        <w:rPr>
          <w:iCs/>
        </w:rPr>
        <w:t>hanges in B</w:t>
      </w:r>
      <w:r w:rsidR="00DC77A9" w:rsidRPr="007C0ACA">
        <w:rPr>
          <w:iCs/>
        </w:rPr>
        <w:t>ak</w:t>
      </w:r>
      <w:r w:rsidR="00376D0F" w:rsidRPr="007C0ACA">
        <w:rPr>
          <w:iCs/>
        </w:rPr>
        <w:t xml:space="preserve"> </w:t>
      </w:r>
      <w:r w:rsidR="00DC77A9" w:rsidRPr="007C0ACA">
        <w:rPr>
          <w:iCs/>
        </w:rPr>
        <w:t>P</w:t>
      </w:r>
      <w:r w:rsidR="00376D0F" w:rsidRPr="007C0ACA">
        <w:rPr>
          <w:iCs/>
        </w:rPr>
        <w:t xml:space="preserve">romote </w:t>
      </w:r>
      <w:r w:rsidR="00DC77A9" w:rsidRPr="007C0ACA">
        <w:rPr>
          <w:iCs/>
        </w:rPr>
        <w:t>A</w:t>
      </w:r>
      <w:r w:rsidR="00376D0F" w:rsidRPr="007C0ACA">
        <w:rPr>
          <w:iCs/>
        </w:rPr>
        <w:t>poptosis</w:t>
      </w:r>
      <w:r w:rsidR="00376D0F" w:rsidRPr="007C0ACA">
        <w:rPr>
          <w:i/>
          <w:iCs/>
        </w:rPr>
        <w:t>,</w:t>
      </w:r>
      <w:r w:rsidR="00376D0F" w:rsidRPr="007C0ACA">
        <w:t xml:space="preserve"> </w:t>
      </w:r>
      <w:r w:rsidR="00376D0F" w:rsidRPr="007C0ACA">
        <w:rPr>
          <w:i/>
        </w:rPr>
        <w:t>Nat</w:t>
      </w:r>
      <w:r w:rsidR="00D461A5" w:rsidRPr="007C0ACA">
        <w:rPr>
          <w:i/>
        </w:rPr>
        <w:t>.</w:t>
      </w:r>
      <w:r w:rsidR="00376D0F" w:rsidRPr="007C0ACA">
        <w:rPr>
          <w:i/>
        </w:rPr>
        <w:t xml:space="preserve"> Struct</w:t>
      </w:r>
      <w:r w:rsidR="00D461A5" w:rsidRPr="007C0ACA">
        <w:rPr>
          <w:i/>
        </w:rPr>
        <w:t>.</w:t>
      </w:r>
      <w:r w:rsidR="00376D0F" w:rsidRPr="007C0ACA">
        <w:rPr>
          <w:i/>
        </w:rPr>
        <w:t xml:space="preserve"> Mol</w:t>
      </w:r>
      <w:r w:rsidR="00D461A5" w:rsidRPr="007C0ACA">
        <w:rPr>
          <w:i/>
        </w:rPr>
        <w:t>.</w:t>
      </w:r>
      <w:r w:rsidR="00376D0F" w:rsidRPr="007C0ACA">
        <w:rPr>
          <w:i/>
        </w:rPr>
        <w:t xml:space="preserve"> Biol</w:t>
      </w:r>
      <w:r w:rsidR="00D461A5" w:rsidRPr="007C0ACA">
        <w:rPr>
          <w:i/>
        </w:rPr>
        <w:t>.</w:t>
      </w:r>
      <w:r w:rsidR="00376D0F" w:rsidRPr="007C0ACA">
        <w:t xml:space="preserve">, </w:t>
      </w:r>
      <w:r w:rsidR="00376D0F" w:rsidRPr="007C0ACA">
        <w:rPr>
          <w:b/>
        </w:rPr>
        <w:t>2013</w:t>
      </w:r>
      <w:r w:rsidR="00376D0F" w:rsidRPr="007C0ACA">
        <w:t xml:space="preserve">, </w:t>
      </w:r>
      <w:r w:rsidR="00376D0F" w:rsidRPr="007C0ACA">
        <w:rPr>
          <w:i/>
          <w:iCs/>
        </w:rPr>
        <w:t>20</w:t>
      </w:r>
      <w:r w:rsidR="00376D0F" w:rsidRPr="007C0ACA">
        <w:t>, 589–597.</w:t>
      </w:r>
    </w:p>
    <w:p w14:paraId="5E258EE7" w14:textId="593706CA"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(26) </w:t>
      </w:r>
      <w:r w:rsidR="003C02CC" w:rsidRPr="007C0ACA">
        <w:rPr>
          <w:rFonts w:ascii="Calibri" w:hAnsi="Calibri" w:cs="Calibri"/>
          <w:noProof/>
          <w:szCs w:val="24"/>
        </w:rPr>
        <w:t xml:space="preserve">Edlich, </w:t>
      </w:r>
      <w:r w:rsidR="00376D0F" w:rsidRPr="007C0ACA">
        <w:t xml:space="preserve">F. </w:t>
      </w:r>
      <w:r w:rsidR="00DC77A9" w:rsidRPr="007C0ACA">
        <w:t>Bcl</w:t>
      </w:r>
      <w:r w:rsidR="00376D0F" w:rsidRPr="007C0ACA">
        <w:t xml:space="preserve">-2 </w:t>
      </w:r>
      <w:r w:rsidR="00DC77A9" w:rsidRPr="007C0ACA">
        <w:t>P</w:t>
      </w:r>
      <w:r w:rsidR="00376D0F" w:rsidRPr="007C0ACA">
        <w:t xml:space="preserve">roteins and </w:t>
      </w:r>
      <w:r w:rsidR="00DC77A9" w:rsidRPr="007C0ACA">
        <w:t>A</w:t>
      </w:r>
      <w:r w:rsidR="00376D0F" w:rsidRPr="007C0ACA">
        <w:t xml:space="preserve">poptosis: Recent </w:t>
      </w:r>
      <w:r w:rsidR="00DC77A9" w:rsidRPr="007C0ACA">
        <w:t>I</w:t>
      </w:r>
      <w:r w:rsidR="00376D0F" w:rsidRPr="007C0ACA">
        <w:t xml:space="preserve">nsights and </w:t>
      </w:r>
      <w:r w:rsidR="00DC77A9" w:rsidRPr="007C0ACA">
        <w:t>U</w:t>
      </w:r>
      <w:r w:rsidR="00376D0F" w:rsidRPr="007C0ACA">
        <w:t xml:space="preserve">nknowns, </w:t>
      </w:r>
      <w:r w:rsidR="00376D0F" w:rsidRPr="007C0ACA">
        <w:rPr>
          <w:i/>
        </w:rPr>
        <w:t>Biochem</w:t>
      </w:r>
      <w:r w:rsidR="00D461A5" w:rsidRPr="007C0ACA">
        <w:rPr>
          <w:i/>
        </w:rPr>
        <w:t>.</w:t>
      </w:r>
      <w:r w:rsidR="00376D0F" w:rsidRPr="007C0ACA">
        <w:rPr>
          <w:i/>
        </w:rPr>
        <w:t xml:space="preserve"> Biophys</w:t>
      </w:r>
      <w:r w:rsidR="00D461A5" w:rsidRPr="007C0ACA">
        <w:rPr>
          <w:i/>
        </w:rPr>
        <w:t>.</w:t>
      </w:r>
      <w:r w:rsidR="00376D0F" w:rsidRPr="007C0ACA">
        <w:rPr>
          <w:i/>
        </w:rPr>
        <w:t xml:space="preserve"> Res</w:t>
      </w:r>
      <w:r w:rsidR="00D461A5" w:rsidRPr="007C0ACA">
        <w:rPr>
          <w:i/>
        </w:rPr>
        <w:t>.</w:t>
      </w:r>
      <w:r w:rsidR="00376D0F" w:rsidRPr="007C0ACA">
        <w:rPr>
          <w:i/>
        </w:rPr>
        <w:t xml:space="preserve"> Commun</w:t>
      </w:r>
      <w:r w:rsidR="00D461A5" w:rsidRPr="007C0ACA">
        <w:rPr>
          <w:i/>
        </w:rPr>
        <w:t>.</w:t>
      </w:r>
      <w:r w:rsidR="00376D0F" w:rsidRPr="007C0ACA">
        <w:t xml:space="preserve">, </w:t>
      </w:r>
      <w:r w:rsidR="00376D0F" w:rsidRPr="007C0ACA">
        <w:rPr>
          <w:b/>
        </w:rPr>
        <w:t>2018</w:t>
      </w:r>
      <w:r w:rsidR="00376D0F" w:rsidRPr="007C0ACA">
        <w:t xml:space="preserve">, </w:t>
      </w:r>
      <w:r w:rsidR="00376D0F" w:rsidRPr="007C0ACA">
        <w:rPr>
          <w:i/>
        </w:rPr>
        <w:t>500</w:t>
      </w:r>
      <w:r w:rsidR="00376D0F" w:rsidRPr="007C0ACA">
        <w:t>, 26-34.</w:t>
      </w:r>
    </w:p>
    <w:p w14:paraId="61E80B0F" w14:textId="104204AE"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(27) </w:t>
      </w:r>
      <w:r w:rsidR="00C10C95" w:rsidRPr="007C0ACA">
        <w:rPr>
          <w:rFonts w:ascii="Calibri" w:hAnsi="Calibri" w:cs="Calibri"/>
          <w:noProof/>
          <w:szCs w:val="24"/>
        </w:rPr>
        <w:t xml:space="preserve">Leschiner, </w:t>
      </w:r>
      <w:r w:rsidR="00376D0F" w:rsidRPr="007C0ACA">
        <w:t>E. S.</w:t>
      </w:r>
      <w:r w:rsidR="00C10C95" w:rsidRPr="007C0ACA">
        <w:t>; Braun,</w:t>
      </w:r>
      <w:r w:rsidR="00376D0F" w:rsidRPr="007C0ACA">
        <w:t xml:space="preserve"> C. R.</w:t>
      </w:r>
      <w:r w:rsidR="00C10C95" w:rsidRPr="007C0ACA">
        <w:t xml:space="preserve">; Bird, </w:t>
      </w:r>
      <w:r w:rsidR="00376D0F" w:rsidRPr="007C0ACA">
        <w:t>G. H.</w:t>
      </w:r>
      <w:r w:rsidR="00C10C95" w:rsidRPr="007C0ACA">
        <w:t>; Walensky,</w:t>
      </w:r>
      <w:r w:rsidR="00376D0F" w:rsidRPr="007C0ACA">
        <w:t xml:space="preserve"> L. D. </w:t>
      </w:r>
      <w:r w:rsidR="00376D0F" w:rsidRPr="007C0ACA">
        <w:rPr>
          <w:iCs/>
        </w:rPr>
        <w:t xml:space="preserve">Direct </w:t>
      </w:r>
      <w:r w:rsidR="00DC77A9" w:rsidRPr="007C0ACA">
        <w:rPr>
          <w:iCs/>
        </w:rPr>
        <w:t>A</w:t>
      </w:r>
      <w:r w:rsidR="00376D0F" w:rsidRPr="007C0ACA">
        <w:rPr>
          <w:iCs/>
        </w:rPr>
        <w:t xml:space="preserve">ctivation of </w:t>
      </w:r>
      <w:r w:rsidR="00DC77A9" w:rsidRPr="007C0ACA">
        <w:rPr>
          <w:iCs/>
        </w:rPr>
        <w:t>F</w:t>
      </w:r>
      <w:r w:rsidR="00376D0F" w:rsidRPr="007C0ACA">
        <w:rPr>
          <w:iCs/>
        </w:rPr>
        <w:t>ull-</w:t>
      </w:r>
      <w:r w:rsidR="00DC77A9" w:rsidRPr="007C0ACA">
        <w:rPr>
          <w:iCs/>
        </w:rPr>
        <w:t>L</w:t>
      </w:r>
      <w:r w:rsidR="00376D0F" w:rsidRPr="007C0ACA">
        <w:rPr>
          <w:iCs/>
        </w:rPr>
        <w:t xml:space="preserve">ength </w:t>
      </w:r>
      <w:r w:rsidR="00DC77A9" w:rsidRPr="007C0ACA">
        <w:rPr>
          <w:iCs/>
        </w:rPr>
        <w:t>P</w:t>
      </w:r>
      <w:r w:rsidR="00376D0F" w:rsidRPr="007C0ACA">
        <w:rPr>
          <w:iCs/>
        </w:rPr>
        <w:t>roapoptotic Bak</w:t>
      </w:r>
      <w:r w:rsidR="00D461A5" w:rsidRPr="007C0ACA">
        <w:rPr>
          <w:i/>
        </w:rPr>
        <w:t>,</w:t>
      </w:r>
      <w:r w:rsidR="00376D0F" w:rsidRPr="007C0ACA">
        <w:rPr>
          <w:i/>
        </w:rPr>
        <w:t xml:space="preserve"> Proc. Natl. Acad. Sci</w:t>
      </w:r>
      <w:r w:rsidR="00376D0F" w:rsidRPr="007C0ACA">
        <w:t xml:space="preserve">. </w:t>
      </w:r>
      <w:r w:rsidR="00376D0F" w:rsidRPr="007C0ACA">
        <w:rPr>
          <w:i/>
        </w:rPr>
        <w:t>U</w:t>
      </w:r>
      <w:r w:rsidR="00D461A5" w:rsidRPr="007C0ACA">
        <w:rPr>
          <w:i/>
        </w:rPr>
        <w:t xml:space="preserve">. </w:t>
      </w:r>
      <w:r w:rsidR="00376D0F" w:rsidRPr="007C0ACA">
        <w:rPr>
          <w:i/>
        </w:rPr>
        <w:t>S</w:t>
      </w:r>
      <w:r w:rsidR="00D461A5" w:rsidRPr="007C0ACA">
        <w:rPr>
          <w:i/>
        </w:rPr>
        <w:t xml:space="preserve">. </w:t>
      </w:r>
      <w:r w:rsidR="00376D0F" w:rsidRPr="007C0ACA">
        <w:rPr>
          <w:i/>
        </w:rPr>
        <w:t>A</w:t>
      </w:r>
      <w:r w:rsidR="00D461A5" w:rsidRPr="007C0ACA">
        <w:rPr>
          <w:i/>
        </w:rPr>
        <w:t>.</w:t>
      </w:r>
      <w:r w:rsidR="00376D0F" w:rsidRPr="007C0ACA">
        <w:rPr>
          <w:i/>
        </w:rPr>
        <w:t>,</w:t>
      </w:r>
      <w:r w:rsidR="00376D0F" w:rsidRPr="007C0ACA">
        <w:t xml:space="preserve"> </w:t>
      </w:r>
      <w:r w:rsidR="00376D0F" w:rsidRPr="007C0ACA">
        <w:rPr>
          <w:b/>
        </w:rPr>
        <w:t>2013</w:t>
      </w:r>
      <w:r w:rsidR="00376D0F" w:rsidRPr="007C0ACA">
        <w:t xml:space="preserve">, </w:t>
      </w:r>
      <w:r w:rsidR="00376D0F" w:rsidRPr="007C0ACA">
        <w:rPr>
          <w:i/>
        </w:rPr>
        <w:t>110</w:t>
      </w:r>
      <w:r w:rsidR="00376D0F" w:rsidRPr="007C0ACA">
        <w:t>, 963-995</w:t>
      </w:r>
      <w:r w:rsidR="00376D0F" w:rsidRPr="007C0ACA">
        <w:rPr>
          <w:rFonts w:ascii="Calibri" w:hAnsi="Calibri" w:cs="Calibri"/>
          <w:noProof/>
          <w:szCs w:val="24"/>
        </w:rPr>
        <w:t xml:space="preserve">. </w:t>
      </w:r>
    </w:p>
    <w:p w14:paraId="1DFD21CE" w14:textId="2739E937"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(28) </w:t>
      </w:r>
      <w:r w:rsidR="00C10C95" w:rsidRPr="007C0ACA">
        <w:rPr>
          <w:rFonts w:ascii="Calibri" w:hAnsi="Calibri" w:cs="Calibri"/>
          <w:noProof/>
          <w:szCs w:val="24"/>
        </w:rPr>
        <w:t xml:space="preserve">Brouwer, </w:t>
      </w:r>
      <w:r w:rsidR="00376D0F" w:rsidRPr="007C0ACA">
        <w:rPr>
          <w:iCs/>
        </w:rPr>
        <w:t>J. M.</w:t>
      </w:r>
      <w:r w:rsidR="00C10C95" w:rsidRPr="007C0ACA">
        <w:rPr>
          <w:iCs/>
        </w:rPr>
        <w:t>; Lan,</w:t>
      </w:r>
      <w:r w:rsidR="00376D0F" w:rsidRPr="007C0ACA">
        <w:rPr>
          <w:iCs/>
        </w:rPr>
        <w:t xml:space="preserve"> P.</w:t>
      </w:r>
      <w:r w:rsidR="00C10C95" w:rsidRPr="007C0ACA">
        <w:rPr>
          <w:iCs/>
        </w:rPr>
        <w:t>; Cowan,</w:t>
      </w:r>
      <w:r w:rsidR="00376D0F" w:rsidRPr="007C0ACA">
        <w:rPr>
          <w:iCs/>
        </w:rPr>
        <w:t xml:space="preserve"> A. D.</w:t>
      </w:r>
      <w:r w:rsidR="00C10C95" w:rsidRPr="007C0ACA">
        <w:rPr>
          <w:iCs/>
        </w:rPr>
        <w:t xml:space="preserve">; Bernardini, </w:t>
      </w:r>
      <w:r w:rsidR="00376D0F" w:rsidRPr="007C0ACA">
        <w:rPr>
          <w:iCs/>
        </w:rPr>
        <w:t>J. P.</w:t>
      </w:r>
      <w:r w:rsidR="00C10C95" w:rsidRPr="007C0ACA">
        <w:rPr>
          <w:iCs/>
        </w:rPr>
        <w:t>; Birkinshaw,</w:t>
      </w:r>
      <w:r w:rsidR="00376D0F" w:rsidRPr="007C0ACA">
        <w:rPr>
          <w:iCs/>
        </w:rPr>
        <w:t xml:space="preserve"> R. W.</w:t>
      </w:r>
      <w:r w:rsidR="00C10C95" w:rsidRPr="007C0ACA">
        <w:rPr>
          <w:iCs/>
        </w:rPr>
        <w:t>; van Delft,</w:t>
      </w:r>
      <w:r w:rsidR="00376D0F" w:rsidRPr="007C0ACA">
        <w:rPr>
          <w:iCs/>
        </w:rPr>
        <w:t xml:space="preserve"> M. F.</w:t>
      </w:r>
      <w:r w:rsidR="00C10C95" w:rsidRPr="007C0ACA">
        <w:rPr>
          <w:iCs/>
        </w:rPr>
        <w:t>; Sleebs,</w:t>
      </w:r>
      <w:r w:rsidR="00376D0F" w:rsidRPr="007C0ACA">
        <w:rPr>
          <w:iCs/>
        </w:rPr>
        <w:t xml:space="preserve"> B. E.</w:t>
      </w:r>
      <w:r w:rsidR="00C10C95" w:rsidRPr="007C0ACA">
        <w:rPr>
          <w:iCs/>
        </w:rPr>
        <w:t>; Robin,</w:t>
      </w:r>
      <w:r w:rsidR="00376D0F" w:rsidRPr="007C0ACA">
        <w:rPr>
          <w:iCs/>
        </w:rPr>
        <w:t xml:space="preserve"> A. Y.</w:t>
      </w:r>
      <w:r w:rsidR="00C10C95" w:rsidRPr="007C0ACA">
        <w:rPr>
          <w:iCs/>
        </w:rPr>
        <w:t>; Wardak,</w:t>
      </w:r>
      <w:r w:rsidR="00376D0F" w:rsidRPr="007C0ACA">
        <w:rPr>
          <w:iCs/>
        </w:rPr>
        <w:t xml:space="preserve"> A.</w:t>
      </w:r>
      <w:r w:rsidR="00C10C95" w:rsidRPr="007C0ACA">
        <w:rPr>
          <w:iCs/>
        </w:rPr>
        <w:t>; Tan,</w:t>
      </w:r>
      <w:r w:rsidR="00376D0F" w:rsidRPr="007C0ACA">
        <w:rPr>
          <w:iCs/>
        </w:rPr>
        <w:t xml:space="preserve"> I. K.</w:t>
      </w:r>
      <w:r w:rsidR="00C10C95" w:rsidRPr="007C0ACA">
        <w:rPr>
          <w:iCs/>
        </w:rPr>
        <w:t>; Reljic,</w:t>
      </w:r>
      <w:r w:rsidR="00376D0F" w:rsidRPr="007C0ACA">
        <w:rPr>
          <w:iCs/>
        </w:rPr>
        <w:t xml:space="preserve"> B.</w:t>
      </w:r>
      <w:r w:rsidR="00C10C95" w:rsidRPr="007C0ACA">
        <w:rPr>
          <w:iCs/>
        </w:rPr>
        <w:t>; Lee,</w:t>
      </w:r>
      <w:r w:rsidR="00376D0F" w:rsidRPr="007C0ACA">
        <w:rPr>
          <w:iCs/>
        </w:rPr>
        <w:t xml:space="preserve"> E. F.</w:t>
      </w:r>
      <w:r w:rsidR="00C10C95" w:rsidRPr="007C0ACA">
        <w:rPr>
          <w:iCs/>
        </w:rPr>
        <w:t>; Fairlie,</w:t>
      </w:r>
      <w:r w:rsidR="00376D0F" w:rsidRPr="007C0ACA">
        <w:rPr>
          <w:iCs/>
        </w:rPr>
        <w:t xml:space="preserve"> W. D.</w:t>
      </w:r>
      <w:r w:rsidR="00C10C95" w:rsidRPr="007C0ACA">
        <w:rPr>
          <w:iCs/>
        </w:rPr>
        <w:t>; Call,</w:t>
      </w:r>
      <w:r w:rsidR="00376D0F" w:rsidRPr="007C0ACA">
        <w:rPr>
          <w:iCs/>
        </w:rPr>
        <w:t xml:space="preserve"> M. J.</w:t>
      </w:r>
      <w:r w:rsidR="00C10C95" w:rsidRPr="007C0ACA">
        <w:rPr>
          <w:iCs/>
        </w:rPr>
        <w:t xml:space="preserve">; Smith, </w:t>
      </w:r>
      <w:r w:rsidR="00376D0F" w:rsidRPr="007C0ACA">
        <w:rPr>
          <w:iCs/>
        </w:rPr>
        <w:t>B. J.</w:t>
      </w:r>
      <w:r w:rsidR="00C10C95" w:rsidRPr="007C0ACA">
        <w:rPr>
          <w:iCs/>
        </w:rPr>
        <w:t>; Dewson,</w:t>
      </w:r>
      <w:r w:rsidR="00376D0F" w:rsidRPr="007C0ACA">
        <w:rPr>
          <w:iCs/>
        </w:rPr>
        <w:t xml:space="preserve"> G.</w:t>
      </w:r>
      <w:r w:rsidR="00C10C95" w:rsidRPr="007C0ACA">
        <w:rPr>
          <w:iCs/>
        </w:rPr>
        <w:t>; Lessene,</w:t>
      </w:r>
      <w:r w:rsidR="00376D0F" w:rsidRPr="007C0ACA">
        <w:rPr>
          <w:iCs/>
        </w:rPr>
        <w:t xml:space="preserve"> G.</w:t>
      </w:r>
      <w:r w:rsidR="00C10C95" w:rsidRPr="007C0ACA">
        <w:rPr>
          <w:iCs/>
        </w:rPr>
        <w:t>; Colman,</w:t>
      </w:r>
      <w:r w:rsidR="00376D0F" w:rsidRPr="007C0ACA">
        <w:rPr>
          <w:iCs/>
        </w:rPr>
        <w:t xml:space="preserve"> P.</w:t>
      </w:r>
      <w:r w:rsidR="00C10C95" w:rsidRPr="007C0ACA">
        <w:rPr>
          <w:iCs/>
        </w:rPr>
        <w:t>; Czabotar</w:t>
      </w:r>
      <w:r w:rsidR="005863C2" w:rsidRPr="007C0ACA">
        <w:rPr>
          <w:iCs/>
        </w:rPr>
        <w:t>,</w:t>
      </w:r>
      <w:r w:rsidR="00376D0F" w:rsidRPr="007C0ACA">
        <w:rPr>
          <w:iCs/>
        </w:rPr>
        <w:t xml:space="preserve"> P.</w:t>
      </w:r>
      <w:r w:rsidR="005863C2" w:rsidRPr="007C0ACA">
        <w:rPr>
          <w:iCs/>
        </w:rPr>
        <w:t xml:space="preserve"> </w:t>
      </w:r>
      <w:r w:rsidR="00376D0F" w:rsidRPr="007C0ACA">
        <w:rPr>
          <w:iCs/>
        </w:rPr>
        <w:t xml:space="preserve">M. Conversion of Bim-BH3 from </w:t>
      </w:r>
      <w:r w:rsidR="00DC77A9" w:rsidRPr="007C0ACA">
        <w:rPr>
          <w:iCs/>
        </w:rPr>
        <w:t>A</w:t>
      </w:r>
      <w:r w:rsidR="00376D0F" w:rsidRPr="007C0ACA">
        <w:rPr>
          <w:iCs/>
        </w:rPr>
        <w:t xml:space="preserve">ctivator to </w:t>
      </w:r>
      <w:r w:rsidR="00DC77A9" w:rsidRPr="007C0ACA">
        <w:rPr>
          <w:iCs/>
        </w:rPr>
        <w:t>I</w:t>
      </w:r>
      <w:r w:rsidR="00376D0F" w:rsidRPr="007C0ACA">
        <w:rPr>
          <w:iCs/>
        </w:rPr>
        <w:t xml:space="preserve">nhibitor of Bak through </w:t>
      </w:r>
      <w:r w:rsidR="00DC77A9" w:rsidRPr="007C0ACA">
        <w:rPr>
          <w:iCs/>
        </w:rPr>
        <w:t>S</w:t>
      </w:r>
      <w:r w:rsidR="00376D0F" w:rsidRPr="007C0ACA">
        <w:rPr>
          <w:iCs/>
        </w:rPr>
        <w:t>tructure-b</w:t>
      </w:r>
      <w:r w:rsidR="00DC77A9" w:rsidRPr="007C0ACA">
        <w:rPr>
          <w:iCs/>
        </w:rPr>
        <w:t>B</w:t>
      </w:r>
      <w:r w:rsidR="00376D0F" w:rsidRPr="007C0ACA">
        <w:rPr>
          <w:iCs/>
        </w:rPr>
        <w:t xml:space="preserve">ased </w:t>
      </w:r>
      <w:r w:rsidR="00DC77A9" w:rsidRPr="007C0ACA">
        <w:rPr>
          <w:iCs/>
        </w:rPr>
        <w:t>D</w:t>
      </w:r>
      <w:r w:rsidR="00376D0F" w:rsidRPr="007C0ACA">
        <w:rPr>
          <w:iCs/>
        </w:rPr>
        <w:t>esign,</w:t>
      </w:r>
      <w:r w:rsidR="00376D0F" w:rsidRPr="007C0ACA">
        <w:rPr>
          <w:i/>
          <w:iCs/>
        </w:rPr>
        <w:t xml:space="preserve"> Mol</w:t>
      </w:r>
      <w:r w:rsidR="00D461A5" w:rsidRPr="007C0ACA">
        <w:rPr>
          <w:i/>
          <w:iCs/>
        </w:rPr>
        <w:t>.</w:t>
      </w:r>
      <w:r w:rsidR="00376D0F" w:rsidRPr="007C0ACA">
        <w:rPr>
          <w:i/>
          <w:iCs/>
        </w:rPr>
        <w:t xml:space="preserve"> Cell</w:t>
      </w:r>
      <w:r w:rsidR="00376D0F" w:rsidRPr="007C0ACA">
        <w:rPr>
          <w:iCs/>
        </w:rPr>
        <w:t xml:space="preserve">, </w:t>
      </w:r>
      <w:r w:rsidR="00376D0F" w:rsidRPr="007C0ACA">
        <w:rPr>
          <w:b/>
          <w:iCs/>
        </w:rPr>
        <w:t>2017</w:t>
      </w:r>
      <w:r w:rsidR="00376D0F" w:rsidRPr="007C0ACA">
        <w:rPr>
          <w:iCs/>
        </w:rPr>
        <w:t xml:space="preserve">, </w:t>
      </w:r>
      <w:r w:rsidR="00376D0F" w:rsidRPr="007C0ACA">
        <w:rPr>
          <w:i/>
          <w:iCs/>
        </w:rPr>
        <w:t>68</w:t>
      </w:r>
      <w:r w:rsidR="00376D0F" w:rsidRPr="007C0ACA">
        <w:rPr>
          <w:iCs/>
        </w:rPr>
        <w:t>, 659–672.</w:t>
      </w:r>
    </w:p>
    <w:p w14:paraId="1306B022" w14:textId="686B36B1"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(29) </w:t>
      </w:r>
      <w:r w:rsidR="005863C2" w:rsidRPr="007C0ACA">
        <w:rPr>
          <w:rFonts w:ascii="Calibri" w:hAnsi="Calibri" w:cs="Calibri"/>
          <w:noProof/>
          <w:szCs w:val="24"/>
        </w:rPr>
        <w:t xml:space="preserve">Wang, </w:t>
      </w:r>
      <w:r w:rsidR="00376D0F" w:rsidRPr="007C0ACA">
        <w:t>H.</w:t>
      </w:r>
      <w:r w:rsidR="005863C2" w:rsidRPr="007C0ACA">
        <w:t>; Takemoto,</w:t>
      </w:r>
      <w:r w:rsidR="00376D0F" w:rsidRPr="007C0ACA">
        <w:t xml:space="preserve"> C.</w:t>
      </w:r>
      <w:r w:rsidR="005863C2" w:rsidRPr="007C0ACA">
        <w:t>; Akasaka,</w:t>
      </w:r>
      <w:r w:rsidR="00376D0F" w:rsidRPr="007C0ACA">
        <w:t xml:space="preserve"> R.</w:t>
      </w:r>
      <w:r w:rsidR="005863C2" w:rsidRPr="007C0ACA">
        <w:t>; Uchikubo-Kamo, T.; Kishishita, S.; Murayama,</w:t>
      </w:r>
      <w:r w:rsidR="00376D0F" w:rsidRPr="007C0ACA">
        <w:t xml:space="preserve"> K</w:t>
      </w:r>
      <w:r w:rsidR="005863C2" w:rsidRPr="007C0ACA">
        <w:t>.; Terada,</w:t>
      </w:r>
      <w:r w:rsidR="00376D0F" w:rsidRPr="007C0ACA">
        <w:t xml:space="preserve"> T.</w:t>
      </w:r>
      <w:r w:rsidR="005863C2" w:rsidRPr="007C0ACA">
        <w:t>; Chen,</w:t>
      </w:r>
      <w:r w:rsidR="00376D0F" w:rsidRPr="007C0ACA">
        <w:t xml:space="preserve"> L.</w:t>
      </w:r>
      <w:r w:rsidR="005863C2" w:rsidRPr="007C0ACA">
        <w:t>; Liu,</w:t>
      </w:r>
      <w:r w:rsidR="00376D0F" w:rsidRPr="007C0ACA">
        <w:t xml:space="preserve"> Z.-J.</w:t>
      </w:r>
      <w:r w:rsidR="005863C2" w:rsidRPr="007C0ACA">
        <w:t>;</w:t>
      </w:r>
      <w:r w:rsidR="00376D0F" w:rsidRPr="007C0ACA">
        <w:t xml:space="preserve"> </w:t>
      </w:r>
      <w:r w:rsidR="005863C2" w:rsidRPr="007C0ACA">
        <w:t xml:space="preserve">Wang, </w:t>
      </w:r>
      <w:r w:rsidR="00376D0F" w:rsidRPr="007C0ACA">
        <w:t>B.-C.</w:t>
      </w:r>
      <w:r w:rsidR="005863C2" w:rsidRPr="007C0ACA">
        <w:t>; Sugano,</w:t>
      </w:r>
      <w:r w:rsidR="00376D0F" w:rsidRPr="007C0ACA">
        <w:t xml:space="preserve"> S.</w:t>
      </w:r>
      <w:r w:rsidR="005863C2" w:rsidRPr="007C0ACA">
        <w:t>; Tanaka,</w:t>
      </w:r>
      <w:r w:rsidR="00376D0F" w:rsidRPr="007C0ACA">
        <w:t xml:space="preserve"> A.</w:t>
      </w:r>
      <w:r w:rsidR="005863C2" w:rsidRPr="007C0ACA">
        <w:t>; Inoue,</w:t>
      </w:r>
      <w:r w:rsidR="00376D0F" w:rsidRPr="007C0ACA">
        <w:t xml:space="preserve"> M.</w:t>
      </w:r>
      <w:r w:rsidR="005863C2" w:rsidRPr="007C0ACA">
        <w:t>; Kigawa,</w:t>
      </w:r>
      <w:r w:rsidR="00376D0F" w:rsidRPr="007C0ACA">
        <w:t xml:space="preserve"> T.</w:t>
      </w:r>
      <w:r w:rsidR="005863C2" w:rsidRPr="007C0ACA">
        <w:t>; Shirouzu,</w:t>
      </w:r>
      <w:r w:rsidR="00376D0F" w:rsidRPr="007C0ACA">
        <w:t xml:space="preserve"> M.</w:t>
      </w:r>
      <w:r w:rsidR="005863C2" w:rsidRPr="007C0ACA">
        <w:t>; Yokoyama,</w:t>
      </w:r>
      <w:r w:rsidR="00376D0F" w:rsidRPr="007C0ACA">
        <w:t xml:space="preserve"> S.</w:t>
      </w:r>
      <w:r w:rsidR="005863C2" w:rsidRPr="007C0ACA">
        <w:t xml:space="preserve"> </w:t>
      </w:r>
      <w:r w:rsidR="00376D0F" w:rsidRPr="007C0ACA">
        <w:rPr>
          <w:iCs/>
        </w:rPr>
        <w:t xml:space="preserve">Novel </w:t>
      </w:r>
      <w:r w:rsidR="00DC77A9" w:rsidRPr="007C0ACA">
        <w:rPr>
          <w:iCs/>
        </w:rPr>
        <w:t>D</w:t>
      </w:r>
      <w:r w:rsidR="00376D0F" w:rsidRPr="007C0ACA">
        <w:rPr>
          <w:iCs/>
        </w:rPr>
        <w:t xml:space="preserve">imerization </w:t>
      </w:r>
      <w:r w:rsidR="00DC77A9" w:rsidRPr="007C0ACA">
        <w:rPr>
          <w:iCs/>
        </w:rPr>
        <w:t>M</w:t>
      </w:r>
      <w:r w:rsidR="00376D0F" w:rsidRPr="007C0ACA">
        <w:rPr>
          <w:iCs/>
        </w:rPr>
        <w:t xml:space="preserve">ode of the </w:t>
      </w:r>
      <w:r w:rsidR="00DC77A9" w:rsidRPr="007C0ACA">
        <w:rPr>
          <w:iCs/>
        </w:rPr>
        <w:t>H</w:t>
      </w:r>
      <w:r w:rsidR="00376D0F" w:rsidRPr="007C0ACA">
        <w:rPr>
          <w:iCs/>
        </w:rPr>
        <w:t xml:space="preserve">uman Bcl-2 </w:t>
      </w:r>
      <w:r w:rsidR="00DC77A9" w:rsidRPr="007C0ACA">
        <w:rPr>
          <w:iCs/>
        </w:rPr>
        <w:t>F</w:t>
      </w:r>
      <w:r w:rsidR="00376D0F" w:rsidRPr="007C0ACA">
        <w:rPr>
          <w:iCs/>
        </w:rPr>
        <w:t xml:space="preserve">amily </w:t>
      </w:r>
      <w:r w:rsidR="00DC77A9" w:rsidRPr="007C0ACA">
        <w:rPr>
          <w:iCs/>
        </w:rPr>
        <w:t>P</w:t>
      </w:r>
      <w:r w:rsidR="00376D0F" w:rsidRPr="007C0ACA">
        <w:rPr>
          <w:iCs/>
        </w:rPr>
        <w:t xml:space="preserve">rotein Bak, a </w:t>
      </w:r>
      <w:r w:rsidR="00DC77A9" w:rsidRPr="007C0ACA">
        <w:rPr>
          <w:iCs/>
        </w:rPr>
        <w:t>M</w:t>
      </w:r>
      <w:r w:rsidR="00376D0F" w:rsidRPr="007C0ACA">
        <w:rPr>
          <w:iCs/>
        </w:rPr>
        <w:t xml:space="preserve">itochondrial </w:t>
      </w:r>
      <w:r w:rsidR="00DC77A9" w:rsidRPr="007C0ACA">
        <w:rPr>
          <w:iCs/>
        </w:rPr>
        <w:t>A</w:t>
      </w:r>
      <w:r w:rsidR="00376D0F" w:rsidRPr="007C0ACA">
        <w:rPr>
          <w:iCs/>
        </w:rPr>
        <w:t xml:space="preserve">poptosis </w:t>
      </w:r>
      <w:r w:rsidR="00DC77A9" w:rsidRPr="007C0ACA">
        <w:rPr>
          <w:iCs/>
        </w:rPr>
        <w:t>R</w:t>
      </w:r>
      <w:r w:rsidR="00376D0F" w:rsidRPr="007C0ACA">
        <w:rPr>
          <w:iCs/>
        </w:rPr>
        <w:t>egulator.</w:t>
      </w:r>
      <w:r w:rsidR="00376D0F" w:rsidRPr="007C0ACA">
        <w:rPr>
          <w:i/>
          <w:iCs/>
        </w:rPr>
        <w:t xml:space="preserve"> </w:t>
      </w:r>
      <w:r w:rsidR="00376D0F" w:rsidRPr="007C0ACA">
        <w:rPr>
          <w:i/>
        </w:rPr>
        <w:t>J</w:t>
      </w:r>
      <w:r w:rsidR="00D461A5" w:rsidRPr="007C0ACA">
        <w:rPr>
          <w:i/>
        </w:rPr>
        <w:t>.</w:t>
      </w:r>
      <w:r w:rsidR="00376D0F" w:rsidRPr="007C0ACA">
        <w:rPr>
          <w:i/>
        </w:rPr>
        <w:t xml:space="preserve"> Struct</w:t>
      </w:r>
      <w:r w:rsidR="00D461A5" w:rsidRPr="007C0ACA">
        <w:rPr>
          <w:i/>
        </w:rPr>
        <w:t>.</w:t>
      </w:r>
      <w:r w:rsidR="00376D0F" w:rsidRPr="007C0ACA">
        <w:rPr>
          <w:i/>
        </w:rPr>
        <w:t xml:space="preserve"> Biol</w:t>
      </w:r>
      <w:r w:rsidR="00D461A5" w:rsidRPr="007C0ACA">
        <w:rPr>
          <w:i/>
        </w:rPr>
        <w:t>.</w:t>
      </w:r>
      <w:r w:rsidR="00376D0F" w:rsidRPr="007C0ACA">
        <w:t xml:space="preserve">, </w:t>
      </w:r>
      <w:r w:rsidR="00376D0F" w:rsidRPr="007C0ACA">
        <w:rPr>
          <w:b/>
        </w:rPr>
        <w:t>2009</w:t>
      </w:r>
      <w:r w:rsidR="00376D0F" w:rsidRPr="007C0ACA">
        <w:t xml:space="preserve">, </w:t>
      </w:r>
      <w:r w:rsidR="00376D0F" w:rsidRPr="007C0ACA">
        <w:rPr>
          <w:i/>
          <w:iCs/>
        </w:rPr>
        <w:t>166</w:t>
      </w:r>
      <w:r w:rsidR="00376D0F" w:rsidRPr="007C0ACA">
        <w:t>, 32–37.</w:t>
      </w:r>
    </w:p>
    <w:p w14:paraId="029FC918" w14:textId="74B8B414" w:rsidR="00376D0F" w:rsidRPr="007C0ACA" w:rsidRDefault="0010098B" w:rsidP="0010098B">
      <w:pPr>
        <w:pStyle w:val="Senseespaiat"/>
        <w:spacing w:line="276" w:lineRule="auto"/>
        <w:jc w:val="both"/>
      </w:pPr>
      <w:bookmarkStart w:id="20" w:name="_Hlk19184180"/>
      <w:r w:rsidRPr="007C0ACA">
        <w:rPr>
          <w:rFonts w:ascii="Calibri" w:hAnsi="Calibri" w:cs="Calibri"/>
          <w:noProof/>
          <w:szCs w:val="24"/>
        </w:rPr>
        <w:t xml:space="preserve">(30) </w:t>
      </w:r>
      <w:r w:rsidR="005863C2" w:rsidRPr="007C0ACA">
        <w:rPr>
          <w:rFonts w:ascii="Calibri" w:hAnsi="Calibri" w:cs="Calibri"/>
          <w:noProof/>
          <w:szCs w:val="24"/>
        </w:rPr>
        <w:t xml:space="preserve">Case, </w:t>
      </w:r>
      <w:r w:rsidR="00376D0F" w:rsidRPr="007C0ACA">
        <w:t>D.</w:t>
      </w:r>
      <w:r w:rsidR="005863C2" w:rsidRPr="007C0ACA">
        <w:t xml:space="preserve"> </w:t>
      </w:r>
      <w:r w:rsidR="00376D0F" w:rsidRPr="007C0ACA">
        <w:t>A.</w:t>
      </w:r>
      <w:r w:rsidR="005863C2" w:rsidRPr="007C0ACA">
        <w:t>; Betz,</w:t>
      </w:r>
      <w:r w:rsidR="00376D0F" w:rsidRPr="007C0ACA">
        <w:t xml:space="preserve"> R.</w:t>
      </w:r>
      <w:r w:rsidR="005863C2" w:rsidRPr="007C0ACA">
        <w:t xml:space="preserve"> </w:t>
      </w:r>
      <w:r w:rsidR="00376D0F" w:rsidRPr="007C0ACA">
        <w:t>M.</w:t>
      </w:r>
      <w:r w:rsidR="005863C2" w:rsidRPr="007C0ACA">
        <w:t>; Cerutti,</w:t>
      </w:r>
      <w:r w:rsidR="00376D0F" w:rsidRPr="007C0ACA">
        <w:t xml:space="preserve"> D.</w:t>
      </w:r>
      <w:r w:rsidR="005863C2" w:rsidRPr="007C0ACA">
        <w:t xml:space="preserve"> </w:t>
      </w:r>
      <w:r w:rsidR="00376D0F" w:rsidRPr="007C0ACA">
        <w:t>S.</w:t>
      </w:r>
      <w:r w:rsidR="005863C2" w:rsidRPr="007C0ACA">
        <w:t>; Cheatham,</w:t>
      </w:r>
      <w:r w:rsidR="00376D0F" w:rsidRPr="007C0ACA">
        <w:t xml:space="preserve"> T.</w:t>
      </w:r>
      <w:r w:rsidR="005863C2" w:rsidRPr="007C0ACA">
        <w:t xml:space="preserve"> </w:t>
      </w:r>
      <w:r w:rsidR="00376D0F" w:rsidRPr="007C0ACA">
        <w:t>E.</w:t>
      </w:r>
      <w:r w:rsidR="005863C2" w:rsidRPr="007C0ACA">
        <w:t>,</w:t>
      </w:r>
      <w:r w:rsidR="00376D0F" w:rsidRPr="007C0ACA">
        <w:t xml:space="preserve"> III</w:t>
      </w:r>
      <w:r w:rsidR="005863C2" w:rsidRPr="007C0ACA">
        <w:t>;</w:t>
      </w:r>
      <w:r w:rsidR="00376D0F" w:rsidRPr="007C0ACA">
        <w:t xml:space="preserve"> </w:t>
      </w:r>
      <w:r w:rsidR="005863C2" w:rsidRPr="007C0ACA">
        <w:t xml:space="preserve">Darden, </w:t>
      </w:r>
      <w:r w:rsidR="00376D0F" w:rsidRPr="007C0ACA">
        <w:t>T.</w:t>
      </w:r>
      <w:r w:rsidR="005863C2" w:rsidRPr="007C0ACA">
        <w:t xml:space="preserve"> </w:t>
      </w:r>
      <w:r w:rsidR="00376D0F" w:rsidRPr="007C0ACA">
        <w:t>A.</w:t>
      </w:r>
      <w:r w:rsidR="005863C2" w:rsidRPr="007C0ACA">
        <w:t xml:space="preserve">; Duke, </w:t>
      </w:r>
      <w:r w:rsidR="00376D0F" w:rsidRPr="007C0ACA">
        <w:t>R.</w:t>
      </w:r>
      <w:r w:rsidR="005863C2" w:rsidRPr="007C0ACA">
        <w:t xml:space="preserve"> </w:t>
      </w:r>
      <w:r w:rsidR="00376D0F" w:rsidRPr="007C0ACA">
        <w:t>E.</w:t>
      </w:r>
      <w:r w:rsidR="005863C2" w:rsidRPr="007C0ACA">
        <w:t>; Giese,</w:t>
      </w:r>
      <w:r w:rsidR="00376D0F" w:rsidRPr="007C0ACA">
        <w:t xml:space="preserve"> T.</w:t>
      </w:r>
      <w:r w:rsidR="005863C2" w:rsidRPr="007C0ACA">
        <w:t xml:space="preserve"> </w:t>
      </w:r>
      <w:r w:rsidR="00376D0F" w:rsidRPr="007C0ACA">
        <w:t>J.</w:t>
      </w:r>
      <w:r w:rsidR="005863C2" w:rsidRPr="007C0ACA">
        <w:t xml:space="preserve">; Gohlke, </w:t>
      </w:r>
      <w:r w:rsidR="00376D0F" w:rsidRPr="007C0ACA">
        <w:t>H.</w:t>
      </w:r>
      <w:r w:rsidR="005863C2" w:rsidRPr="007C0ACA">
        <w:t>; Goetz,</w:t>
      </w:r>
      <w:r w:rsidR="00376D0F" w:rsidRPr="007C0ACA">
        <w:t xml:space="preserve"> A.</w:t>
      </w:r>
      <w:r w:rsidR="005863C2" w:rsidRPr="007C0ACA">
        <w:t xml:space="preserve"> </w:t>
      </w:r>
      <w:r w:rsidR="00376D0F" w:rsidRPr="007C0ACA">
        <w:t>W.</w:t>
      </w:r>
      <w:r w:rsidR="005863C2" w:rsidRPr="007C0ACA">
        <w:t>; Homeyer,</w:t>
      </w:r>
      <w:r w:rsidR="00376D0F" w:rsidRPr="007C0ACA">
        <w:t xml:space="preserve"> N.</w:t>
      </w:r>
      <w:r w:rsidR="005863C2" w:rsidRPr="007C0ACA">
        <w:t>; Izadi,</w:t>
      </w:r>
      <w:r w:rsidR="00376D0F" w:rsidRPr="007C0ACA">
        <w:t xml:space="preserve"> S.</w:t>
      </w:r>
      <w:r w:rsidR="005863C2" w:rsidRPr="007C0ACA">
        <w:t>; Janowski,</w:t>
      </w:r>
      <w:r w:rsidR="00376D0F" w:rsidRPr="007C0ACA">
        <w:t xml:space="preserve"> P.</w:t>
      </w:r>
      <w:r w:rsidR="005863C2" w:rsidRPr="007C0ACA">
        <w:t>; Kaus</w:t>
      </w:r>
      <w:r w:rsidR="00376D0F" w:rsidRPr="007C0ACA">
        <w:t>, J.</w:t>
      </w:r>
      <w:r w:rsidR="005863C2" w:rsidRPr="007C0ACA">
        <w:t>; Kovalenko</w:t>
      </w:r>
      <w:r w:rsidR="00376D0F" w:rsidRPr="007C0ACA">
        <w:t>, A.</w:t>
      </w:r>
      <w:r w:rsidR="005863C2" w:rsidRPr="007C0ACA">
        <w:t>; Lee</w:t>
      </w:r>
      <w:r w:rsidR="00376D0F" w:rsidRPr="007C0ACA">
        <w:t>, T.</w:t>
      </w:r>
      <w:r w:rsidR="005863C2" w:rsidRPr="007C0ACA">
        <w:t xml:space="preserve"> </w:t>
      </w:r>
      <w:r w:rsidR="00376D0F" w:rsidRPr="007C0ACA">
        <w:t>S.</w:t>
      </w:r>
      <w:r w:rsidR="005863C2" w:rsidRPr="007C0ACA">
        <w:t>; LeGrand,</w:t>
      </w:r>
      <w:r w:rsidR="00376D0F" w:rsidRPr="007C0ACA">
        <w:t xml:space="preserve"> S.</w:t>
      </w:r>
      <w:r w:rsidR="005863C2" w:rsidRPr="007C0ACA">
        <w:t>; Li,</w:t>
      </w:r>
      <w:r w:rsidR="00376D0F" w:rsidRPr="007C0ACA">
        <w:t xml:space="preserve"> P.</w:t>
      </w:r>
      <w:r w:rsidR="005863C2" w:rsidRPr="007C0ACA">
        <w:t>; Lin, C.; Luchko,</w:t>
      </w:r>
      <w:r w:rsidR="00376D0F" w:rsidRPr="007C0ACA">
        <w:t xml:space="preserve"> T.</w:t>
      </w:r>
      <w:r w:rsidR="005863C2" w:rsidRPr="007C0ACA">
        <w:t>; Luo,</w:t>
      </w:r>
      <w:r w:rsidR="00376D0F" w:rsidRPr="007C0ACA">
        <w:t xml:space="preserve"> R.</w:t>
      </w:r>
      <w:r w:rsidR="005863C2" w:rsidRPr="007C0ACA">
        <w:t>; Madej,</w:t>
      </w:r>
      <w:r w:rsidR="00376D0F" w:rsidRPr="007C0ACA">
        <w:t xml:space="preserve"> B.</w:t>
      </w:r>
      <w:r w:rsidR="005863C2" w:rsidRPr="007C0ACA">
        <w:t>; Mermelstein,</w:t>
      </w:r>
      <w:r w:rsidR="00376D0F" w:rsidRPr="007C0ACA">
        <w:t xml:space="preserve"> D.</w:t>
      </w:r>
      <w:r w:rsidR="005863C2" w:rsidRPr="007C0ACA">
        <w:t xml:space="preserve">; Merz, </w:t>
      </w:r>
      <w:r w:rsidR="00376D0F" w:rsidRPr="007C0ACA">
        <w:t>K.</w:t>
      </w:r>
      <w:r w:rsidR="005863C2" w:rsidRPr="007C0ACA">
        <w:t xml:space="preserve"> </w:t>
      </w:r>
      <w:r w:rsidR="00376D0F" w:rsidRPr="007C0ACA">
        <w:t>M.</w:t>
      </w:r>
      <w:r w:rsidR="005863C2" w:rsidRPr="007C0ACA">
        <w:t>; Monard,</w:t>
      </w:r>
      <w:r w:rsidR="00376D0F" w:rsidRPr="007C0ACA">
        <w:t xml:space="preserve"> G.</w:t>
      </w:r>
      <w:r w:rsidR="005863C2" w:rsidRPr="007C0ACA">
        <w:t>; Nguyen,</w:t>
      </w:r>
      <w:r w:rsidR="00376D0F" w:rsidRPr="007C0ACA">
        <w:t xml:space="preserve"> H.</w:t>
      </w:r>
      <w:r w:rsidR="005863C2" w:rsidRPr="007C0ACA">
        <w:t>; Nguyen, H. T.; Omelyan,</w:t>
      </w:r>
      <w:r w:rsidR="00376D0F" w:rsidRPr="007C0ACA">
        <w:t xml:space="preserve"> I.</w:t>
      </w:r>
      <w:r w:rsidR="005863C2" w:rsidRPr="007C0ACA">
        <w:t>; Onufriev,</w:t>
      </w:r>
      <w:r w:rsidR="00376D0F" w:rsidRPr="007C0ACA">
        <w:t xml:space="preserve"> A.</w:t>
      </w:r>
      <w:r w:rsidR="005863C2" w:rsidRPr="007C0ACA">
        <w:t>; Roe,</w:t>
      </w:r>
      <w:r w:rsidR="00376D0F" w:rsidRPr="007C0ACA">
        <w:t xml:space="preserve"> D.</w:t>
      </w:r>
      <w:r w:rsidR="005863C2" w:rsidRPr="007C0ACA">
        <w:t xml:space="preserve"> </w:t>
      </w:r>
      <w:r w:rsidR="00376D0F" w:rsidRPr="007C0ACA">
        <w:t>R.</w:t>
      </w:r>
      <w:r w:rsidR="005863C2" w:rsidRPr="007C0ACA">
        <w:t>; Roitberg,</w:t>
      </w:r>
      <w:r w:rsidR="00376D0F" w:rsidRPr="007C0ACA">
        <w:t xml:space="preserve"> A.</w:t>
      </w:r>
      <w:r w:rsidR="005863C2" w:rsidRPr="007C0ACA">
        <w:t>; Sagui,</w:t>
      </w:r>
      <w:r w:rsidR="00376D0F" w:rsidRPr="007C0ACA">
        <w:t xml:space="preserve"> C.</w:t>
      </w:r>
      <w:r w:rsidR="00B1631A" w:rsidRPr="007C0ACA">
        <w:t>; Simmerling, C. L.; Botello-Smith,</w:t>
      </w:r>
      <w:r w:rsidR="00376D0F" w:rsidRPr="007C0ACA">
        <w:t xml:space="preserve"> W.</w:t>
      </w:r>
      <w:r w:rsidR="00B1631A" w:rsidRPr="007C0ACA">
        <w:t xml:space="preserve"> </w:t>
      </w:r>
      <w:r w:rsidR="00376D0F" w:rsidRPr="007C0ACA">
        <w:t>M.</w:t>
      </w:r>
      <w:r w:rsidR="00B1631A" w:rsidRPr="007C0ACA">
        <w:t>; Swails,</w:t>
      </w:r>
      <w:r w:rsidR="00376D0F" w:rsidRPr="007C0ACA">
        <w:t xml:space="preserve"> J.</w:t>
      </w:r>
      <w:r w:rsidR="00B1631A" w:rsidRPr="007C0ACA">
        <w:t>; Walker,</w:t>
      </w:r>
      <w:r w:rsidR="00376D0F" w:rsidRPr="007C0ACA">
        <w:t xml:space="preserve"> R.</w:t>
      </w:r>
      <w:r w:rsidR="00B1631A" w:rsidRPr="007C0ACA">
        <w:t xml:space="preserve"> </w:t>
      </w:r>
      <w:r w:rsidR="00376D0F" w:rsidRPr="007C0ACA">
        <w:t>C.</w:t>
      </w:r>
      <w:r w:rsidR="00B1631A" w:rsidRPr="007C0ACA">
        <w:t>; Wang,</w:t>
      </w:r>
      <w:r w:rsidR="00376D0F" w:rsidRPr="007C0ACA">
        <w:t xml:space="preserve"> J.</w:t>
      </w:r>
      <w:r w:rsidR="00B1631A" w:rsidRPr="007C0ACA">
        <w:t>; Wolf,</w:t>
      </w:r>
      <w:r w:rsidR="00376D0F" w:rsidRPr="007C0ACA">
        <w:t xml:space="preserve"> R.</w:t>
      </w:r>
      <w:r w:rsidR="00B1631A" w:rsidRPr="007C0ACA">
        <w:t xml:space="preserve"> </w:t>
      </w:r>
      <w:r w:rsidR="00376D0F" w:rsidRPr="007C0ACA">
        <w:t>M.</w:t>
      </w:r>
      <w:r w:rsidR="00B1631A" w:rsidRPr="007C0ACA">
        <w:t>; Wu,</w:t>
      </w:r>
      <w:r w:rsidR="00376D0F" w:rsidRPr="007C0ACA">
        <w:t xml:space="preserve"> X.</w:t>
      </w:r>
      <w:r w:rsidR="00B1631A" w:rsidRPr="007C0ACA">
        <w:t>; Xiao,</w:t>
      </w:r>
      <w:r w:rsidR="00376D0F" w:rsidRPr="007C0ACA">
        <w:t xml:space="preserve"> L.</w:t>
      </w:r>
      <w:r w:rsidR="00B1631A" w:rsidRPr="007C0ACA">
        <w:t>; Kollman,</w:t>
      </w:r>
      <w:r w:rsidR="00376D0F" w:rsidRPr="007C0ACA">
        <w:t xml:space="preserve"> P.</w:t>
      </w:r>
      <w:r w:rsidR="00B1631A" w:rsidRPr="007C0ACA">
        <w:t xml:space="preserve"> </w:t>
      </w:r>
      <w:r w:rsidR="00376D0F" w:rsidRPr="007C0ACA">
        <w:t>A. (2016), AMBER 2016, University of California, San Francisco</w:t>
      </w:r>
      <w:bookmarkEnd w:id="20"/>
      <w:r w:rsidR="00376D0F" w:rsidRPr="007C0ACA">
        <w:t>.</w:t>
      </w:r>
    </w:p>
    <w:p w14:paraId="46F24ECC" w14:textId="741E045B"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(31) </w:t>
      </w:r>
      <w:r w:rsidR="00557A95" w:rsidRPr="007C0ACA">
        <w:rPr>
          <w:rFonts w:ascii="Calibri" w:hAnsi="Calibri" w:cs="Calibri"/>
          <w:noProof/>
          <w:szCs w:val="24"/>
        </w:rPr>
        <w:t xml:space="preserve">Wang, </w:t>
      </w:r>
      <w:r w:rsidR="00376D0F" w:rsidRPr="007C0ACA">
        <w:t>J.</w:t>
      </w:r>
      <w:r w:rsidR="00557A95" w:rsidRPr="007C0ACA">
        <w:t>; Wolf,</w:t>
      </w:r>
      <w:r w:rsidR="00376D0F" w:rsidRPr="007C0ACA">
        <w:t xml:space="preserve"> R. M.</w:t>
      </w:r>
      <w:r w:rsidR="00557A95" w:rsidRPr="007C0ACA">
        <w:t>; Caldwell,</w:t>
      </w:r>
      <w:r w:rsidR="00376D0F" w:rsidRPr="007C0ACA">
        <w:t xml:space="preserve"> J. W.</w:t>
      </w:r>
      <w:r w:rsidR="00557A95" w:rsidRPr="007C0ACA">
        <w:t>; Kollman,</w:t>
      </w:r>
      <w:r w:rsidR="00376D0F" w:rsidRPr="007C0ACA">
        <w:t xml:space="preserve"> P. A.</w:t>
      </w:r>
      <w:r w:rsidR="00557A95" w:rsidRPr="007C0ACA">
        <w:t>; Case,</w:t>
      </w:r>
      <w:r w:rsidR="00376D0F" w:rsidRPr="007C0ACA">
        <w:t xml:space="preserve"> D. A. Development and </w:t>
      </w:r>
      <w:r w:rsidR="00DC77A9" w:rsidRPr="007C0ACA">
        <w:t>T</w:t>
      </w:r>
      <w:r w:rsidR="00376D0F" w:rsidRPr="007C0ACA">
        <w:t xml:space="preserve">esting of a General Amber Force Field, </w:t>
      </w:r>
      <w:r w:rsidR="00376D0F" w:rsidRPr="007C0ACA">
        <w:rPr>
          <w:i/>
        </w:rPr>
        <w:t>J. Comput. Chem.</w:t>
      </w:r>
      <w:r w:rsidR="00376D0F" w:rsidRPr="007C0ACA">
        <w:t xml:space="preserve">, </w:t>
      </w:r>
      <w:r w:rsidR="00376D0F" w:rsidRPr="007C0ACA">
        <w:rPr>
          <w:b/>
        </w:rPr>
        <w:t>2004</w:t>
      </w:r>
      <w:r w:rsidR="00376D0F" w:rsidRPr="007C0ACA">
        <w:t xml:space="preserve">, </w:t>
      </w:r>
      <w:r w:rsidR="00376D0F" w:rsidRPr="007C0ACA">
        <w:rPr>
          <w:i/>
        </w:rPr>
        <w:t>25</w:t>
      </w:r>
      <w:r w:rsidR="00376D0F" w:rsidRPr="007C0ACA">
        <w:t>, 1157-1174</w:t>
      </w:r>
      <w:r w:rsidR="00376D0F" w:rsidRPr="007C0ACA">
        <w:rPr>
          <w:rFonts w:ascii="Calibri" w:hAnsi="Calibri" w:cs="Calibri"/>
          <w:noProof/>
          <w:szCs w:val="24"/>
        </w:rPr>
        <w:t xml:space="preserve">. </w:t>
      </w:r>
    </w:p>
    <w:p w14:paraId="58C5C0FA" w14:textId="6B35E252"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(32)</w:t>
      </w:r>
      <w:r w:rsidR="00557A95" w:rsidRPr="007C0ACA">
        <w:rPr>
          <w:rFonts w:ascii="Calibri" w:hAnsi="Calibri" w:cs="Calibri"/>
          <w:noProof/>
          <w:szCs w:val="24"/>
        </w:rPr>
        <w:t xml:space="preserve"> Bayly,</w:t>
      </w:r>
      <w:r w:rsidRPr="007C0ACA">
        <w:rPr>
          <w:rFonts w:ascii="Calibri" w:hAnsi="Calibri" w:cs="Calibri"/>
          <w:noProof/>
          <w:szCs w:val="24"/>
        </w:rPr>
        <w:t xml:space="preserve"> </w:t>
      </w:r>
      <w:r w:rsidR="00376D0F" w:rsidRPr="007C0ACA">
        <w:t>C.</w:t>
      </w:r>
      <w:r w:rsidR="00557A95" w:rsidRPr="007C0ACA">
        <w:t xml:space="preserve"> </w:t>
      </w:r>
      <w:r w:rsidR="00376D0F" w:rsidRPr="007C0ACA">
        <w:t>I.</w:t>
      </w:r>
      <w:r w:rsidR="00557A95" w:rsidRPr="007C0ACA">
        <w:t>; Cieplak,</w:t>
      </w:r>
      <w:r w:rsidR="00376D0F" w:rsidRPr="007C0ACA">
        <w:t xml:space="preserve"> P.</w:t>
      </w:r>
      <w:r w:rsidR="00557A95" w:rsidRPr="007C0ACA">
        <w:t>; Cornell,</w:t>
      </w:r>
      <w:r w:rsidR="00376D0F" w:rsidRPr="007C0ACA">
        <w:t xml:space="preserve"> W. D.</w:t>
      </w:r>
      <w:r w:rsidR="00557A95" w:rsidRPr="007C0ACA">
        <w:t xml:space="preserve">; Kollman, </w:t>
      </w:r>
      <w:r w:rsidR="00376D0F" w:rsidRPr="007C0ACA">
        <w:t xml:space="preserve">P. A. A </w:t>
      </w:r>
      <w:r w:rsidR="00DC77A9" w:rsidRPr="007C0ACA">
        <w:t>W</w:t>
      </w:r>
      <w:r w:rsidR="00376D0F" w:rsidRPr="007C0ACA">
        <w:t>ell-</w:t>
      </w:r>
      <w:r w:rsidR="00DC77A9" w:rsidRPr="007C0ACA">
        <w:t>B</w:t>
      </w:r>
      <w:r w:rsidR="00376D0F" w:rsidRPr="007C0ACA">
        <w:t xml:space="preserve">ehaved </w:t>
      </w:r>
      <w:r w:rsidR="00DC77A9" w:rsidRPr="007C0ACA">
        <w:t>E</w:t>
      </w:r>
      <w:r w:rsidR="00376D0F" w:rsidRPr="007C0ACA">
        <w:t xml:space="preserve">lectrostatic </w:t>
      </w:r>
      <w:r w:rsidR="00DC77A9" w:rsidRPr="007C0ACA">
        <w:t>P</w:t>
      </w:r>
      <w:r w:rsidR="00376D0F" w:rsidRPr="007C0ACA">
        <w:t xml:space="preserve">otential </w:t>
      </w:r>
      <w:r w:rsidR="00DC77A9" w:rsidRPr="007C0ACA">
        <w:t>B</w:t>
      </w:r>
      <w:r w:rsidR="00376D0F" w:rsidRPr="007C0ACA">
        <w:t xml:space="preserve">ased </w:t>
      </w:r>
      <w:r w:rsidR="00DC77A9" w:rsidRPr="007C0ACA">
        <w:t>M</w:t>
      </w:r>
      <w:r w:rsidR="00376D0F" w:rsidRPr="007C0ACA">
        <w:t xml:space="preserve">ethod </w:t>
      </w:r>
      <w:r w:rsidR="00DC77A9" w:rsidRPr="007C0ACA">
        <w:t>U</w:t>
      </w:r>
      <w:r w:rsidR="00376D0F" w:rsidRPr="007C0ACA">
        <w:t xml:space="preserve">sing </w:t>
      </w:r>
      <w:r w:rsidR="00DC77A9" w:rsidRPr="007C0ACA">
        <w:t>C</w:t>
      </w:r>
      <w:r w:rsidR="00376D0F" w:rsidRPr="007C0ACA">
        <w:t xml:space="preserve">harge </w:t>
      </w:r>
      <w:r w:rsidR="00DC77A9" w:rsidRPr="007C0ACA">
        <w:t>R</w:t>
      </w:r>
      <w:r w:rsidR="00376D0F" w:rsidRPr="007C0ACA">
        <w:t xml:space="preserve">estraints for </w:t>
      </w:r>
      <w:r w:rsidR="00DC77A9" w:rsidRPr="007C0ACA">
        <w:t>D</w:t>
      </w:r>
      <w:r w:rsidR="00376D0F" w:rsidRPr="007C0ACA">
        <w:t xml:space="preserve">eriving </w:t>
      </w:r>
      <w:r w:rsidR="00DC77A9" w:rsidRPr="007C0ACA">
        <w:t>A</w:t>
      </w:r>
      <w:r w:rsidR="00376D0F" w:rsidRPr="007C0ACA">
        <w:t xml:space="preserve">tomic </w:t>
      </w:r>
      <w:r w:rsidR="00DC77A9" w:rsidRPr="007C0ACA">
        <w:t>C</w:t>
      </w:r>
      <w:r w:rsidR="00376D0F" w:rsidRPr="007C0ACA">
        <w:t xml:space="preserve">harges: The RESP </w:t>
      </w:r>
      <w:r w:rsidR="00DC77A9" w:rsidRPr="007C0ACA">
        <w:t>M</w:t>
      </w:r>
      <w:r w:rsidR="00376D0F" w:rsidRPr="007C0ACA">
        <w:t>odel,</w:t>
      </w:r>
      <w:r w:rsidR="00D461A5" w:rsidRPr="007C0ACA">
        <w:t xml:space="preserve"> </w:t>
      </w:r>
      <w:r w:rsidR="00376D0F" w:rsidRPr="007C0ACA">
        <w:t xml:space="preserve"> </w:t>
      </w:r>
      <w:r w:rsidR="00376D0F" w:rsidRPr="007C0ACA">
        <w:rPr>
          <w:i/>
        </w:rPr>
        <w:t>J. Phys. Chem</w:t>
      </w:r>
      <w:r w:rsidR="00376D0F" w:rsidRPr="007C0ACA">
        <w:t xml:space="preserve">., </w:t>
      </w:r>
      <w:r w:rsidR="00376D0F" w:rsidRPr="007C0ACA">
        <w:rPr>
          <w:b/>
        </w:rPr>
        <w:t>1993</w:t>
      </w:r>
      <w:r w:rsidR="00376D0F" w:rsidRPr="007C0ACA">
        <w:t xml:space="preserve">, </w:t>
      </w:r>
      <w:r w:rsidR="00376D0F" w:rsidRPr="007C0ACA">
        <w:rPr>
          <w:i/>
        </w:rPr>
        <w:t>97</w:t>
      </w:r>
      <w:r w:rsidR="00376D0F" w:rsidRPr="007C0ACA">
        <w:t>, 10269-10280</w:t>
      </w:r>
      <w:r w:rsidR="00376D0F" w:rsidRPr="007C0ACA">
        <w:rPr>
          <w:rFonts w:ascii="Calibri" w:hAnsi="Calibri" w:cs="Calibri"/>
          <w:noProof/>
          <w:szCs w:val="24"/>
        </w:rPr>
        <w:t xml:space="preserve">. </w:t>
      </w:r>
    </w:p>
    <w:p w14:paraId="358911A2" w14:textId="79ED8D61"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(33) </w:t>
      </w:r>
      <w:r w:rsidR="00557A95" w:rsidRPr="007C0ACA">
        <w:rPr>
          <w:rFonts w:ascii="Calibri" w:hAnsi="Calibri" w:cs="Calibri"/>
          <w:noProof/>
          <w:szCs w:val="24"/>
        </w:rPr>
        <w:t xml:space="preserve">Aravinda, </w:t>
      </w:r>
      <w:r w:rsidR="00376D0F" w:rsidRPr="007C0ACA">
        <w:t>S.</w:t>
      </w:r>
      <w:r w:rsidR="00557A95" w:rsidRPr="007C0ACA">
        <w:t>; Shamala,</w:t>
      </w:r>
      <w:r w:rsidR="00376D0F" w:rsidRPr="007C0ACA">
        <w:t xml:space="preserve"> N.</w:t>
      </w:r>
      <w:r w:rsidR="00557A95" w:rsidRPr="007C0ACA">
        <w:t>; Balaran, P.</w:t>
      </w:r>
      <w:r w:rsidR="00376D0F" w:rsidRPr="007C0ACA">
        <w:t xml:space="preserve"> AiB </w:t>
      </w:r>
      <w:r w:rsidR="00DC77A9" w:rsidRPr="007C0ACA">
        <w:t>R</w:t>
      </w:r>
      <w:r w:rsidR="00376D0F" w:rsidRPr="007C0ACA">
        <w:t xml:space="preserve">esidues in </w:t>
      </w:r>
      <w:r w:rsidR="00DC77A9" w:rsidRPr="007C0ACA">
        <w:t>P</w:t>
      </w:r>
      <w:r w:rsidR="00376D0F" w:rsidRPr="007C0ACA">
        <w:t xml:space="preserve">eptaibiotics and </w:t>
      </w:r>
      <w:r w:rsidR="00DC77A9" w:rsidRPr="007C0ACA">
        <w:t>S</w:t>
      </w:r>
      <w:r w:rsidR="00376D0F" w:rsidRPr="007C0ACA">
        <w:t xml:space="preserve">ynthetic </w:t>
      </w:r>
      <w:r w:rsidR="00DC77A9" w:rsidRPr="007C0ACA">
        <w:t>S</w:t>
      </w:r>
      <w:r w:rsidR="00376D0F" w:rsidRPr="007C0ACA">
        <w:t xml:space="preserve">equences: </w:t>
      </w:r>
      <w:r w:rsidR="00DC77A9" w:rsidRPr="007C0ACA">
        <w:t>A</w:t>
      </w:r>
      <w:r w:rsidR="00376D0F" w:rsidRPr="007C0ACA">
        <w:t xml:space="preserve">nalysis of </w:t>
      </w:r>
      <w:r w:rsidR="00DC77A9" w:rsidRPr="007C0ACA">
        <w:t>N</w:t>
      </w:r>
      <w:r w:rsidR="00376D0F" w:rsidRPr="007C0ACA">
        <w:t xml:space="preserve">onhelical </w:t>
      </w:r>
      <w:r w:rsidR="00DC77A9" w:rsidRPr="007C0ACA">
        <w:t>C</w:t>
      </w:r>
      <w:r w:rsidR="00376D0F" w:rsidRPr="007C0ACA">
        <w:t xml:space="preserve">onformations, </w:t>
      </w:r>
      <w:r w:rsidR="00376D0F" w:rsidRPr="007C0ACA">
        <w:rPr>
          <w:i/>
        </w:rPr>
        <w:t>Chem</w:t>
      </w:r>
      <w:r w:rsidR="00D461A5" w:rsidRPr="007C0ACA">
        <w:rPr>
          <w:i/>
        </w:rPr>
        <w:t>.</w:t>
      </w:r>
      <w:r w:rsidR="00376D0F" w:rsidRPr="007C0ACA">
        <w:rPr>
          <w:i/>
        </w:rPr>
        <w:t xml:space="preserve"> Biodiversity</w:t>
      </w:r>
      <w:r w:rsidR="00376D0F" w:rsidRPr="007C0ACA">
        <w:t xml:space="preserve">, </w:t>
      </w:r>
      <w:r w:rsidR="00376D0F" w:rsidRPr="007C0ACA">
        <w:rPr>
          <w:b/>
        </w:rPr>
        <w:t>2008</w:t>
      </w:r>
      <w:r w:rsidR="00376D0F" w:rsidRPr="007C0ACA">
        <w:t xml:space="preserve">, </w:t>
      </w:r>
      <w:r w:rsidR="00C10C95" w:rsidRPr="007C0ACA">
        <w:rPr>
          <w:i/>
        </w:rPr>
        <w:t>5</w:t>
      </w:r>
      <w:r w:rsidR="00376D0F" w:rsidRPr="007C0ACA">
        <w:t>, 1238-1262</w:t>
      </w:r>
      <w:r w:rsidR="00376D0F" w:rsidRPr="007C0ACA">
        <w:rPr>
          <w:rFonts w:ascii="Calibri" w:hAnsi="Calibri" w:cs="Calibri"/>
          <w:noProof/>
          <w:szCs w:val="24"/>
        </w:rPr>
        <w:t xml:space="preserve">. </w:t>
      </w:r>
    </w:p>
    <w:p w14:paraId="66765362" w14:textId="3F8F2F9E" w:rsidR="00376D0F" w:rsidRPr="007C0ACA" w:rsidRDefault="0010098B" w:rsidP="0010098B">
      <w:pPr>
        <w:pStyle w:val="Senseespaiat"/>
        <w:spacing w:line="276" w:lineRule="auto"/>
        <w:jc w:val="both"/>
      </w:pPr>
      <w:r w:rsidRPr="007C0ACA">
        <w:rPr>
          <w:rFonts w:ascii="Calibri" w:hAnsi="Calibri" w:cs="Calibri"/>
          <w:noProof/>
          <w:szCs w:val="24"/>
        </w:rPr>
        <w:t xml:space="preserve">(34) </w:t>
      </w:r>
      <w:r w:rsidR="00557A95" w:rsidRPr="007C0ACA">
        <w:rPr>
          <w:rFonts w:ascii="Calibri" w:hAnsi="Calibri" w:cs="Calibri"/>
          <w:noProof/>
          <w:szCs w:val="24"/>
        </w:rPr>
        <w:t xml:space="preserve">Delgado-Soler, </w:t>
      </w:r>
      <w:r w:rsidR="00376D0F" w:rsidRPr="007C0ACA">
        <w:t>L.</w:t>
      </w:r>
      <w:r w:rsidR="00557A95" w:rsidRPr="007C0ACA">
        <w:t>; Orzaez,</w:t>
      </w:r>
      <w:r w:rsidR="00376D0F" w:rsidRPr="007C0ACA">
        <w:t xml:space="preserve"> M.</w:t>
      </w:r>
      <w:r w:rsidR="00557A95" w:rsidRPr="007C0ACA">
        <w:t xml:space="preserve"> </w:t>
      </w:r>
      <w:r w:rsidR="00376D0F" w:rsidRPr="007C0ACA">
        <w:t>M.</w:t>
      </w:r>
      <w:r w:rsidR="00557A95" w:rsidRPr="007C0ACA">
        <w:t>; Rubio-Martinez, J.</w:t>
      </w:r>
      <w:r w:rsidR="00376D0F" w:rsidRPr="007C0ACA">
        <w:t xml:space="preserve"> Structure-</w:t>
      </w:r>
      <w:r w:rsidR="00DC77A9" w:rsidRPr="007C0ACA">
        <w:t>B</w:t>
      </w:r>
      <w:r w:rsidR="00376D0F" w:rsidRPr="007C0ACA">
        <w:t xml:space="preserve">ased </w:t>
      </w:r>
      <w:r w:rsidR="00DC77A9" w:rsidRPr="007C0ACA">
        <w:t>A</w:t>
      </w:r>
      <w:r w:rsidR="00376D0F" w:rsidRPr="007C0ACA">
        <w:t xml:space="preserve">pproach to the </w:t>
      </w:r>
      <w:r w:rsidR="00DC77A9" w:rsidRPr="007C0ACA">
        <w:t>D</w:t>
      </w:r>
      <w:r w:rsidR="00376D0F" w:rsidRPr="007C0ACA">
        <w:t xml:space="preserve">esign of BakBH3 </w:t>
      </w:r>
      <w:r w:rsidR="00DC77A9" w:rsidRPr="007C0ACA">
        <w:t>M</w:t>
      </w:r>
      <w:r w:rsidR="00376D0F" w:rsidRPr="007C0ACA">
        <w:t xml:space="preserve">imetic </w:t>
      </w:r>
      <w:r w:rsidR="00DC77A9" w:rsidRPr="007C0ACA">
        <w:t>P</w:t>
      </w:r>
      <w:r w:rsidR="00376D0F" w:rsidRPr="007C0ACA">
        <w:t xml:space="preserve">eptides with </w:t>
      </w:r>
      <w:r w:rsidR="00DC77A9" w:rsidRPr="007C0ACA">
        <w:t>I</w:t>
      </w:r>
      <w:r w:rsidR="00376D0F" w:rsidRPr="007C0ACA">
        <w:t xml:space="preserve">ncreased </w:t>
      </w:r>
      <w:r w:rsidR="00DC77A9" w:rsidRPr="007C0ACA">
        <w:t>H</w:t>
      </w:r>
      <w:r w:rsidR="00376D0F" w:rsidRPr="007C0ACA">
        <w:t xml:space="preserve">elical </w:t>
      </w:r>
      <w:r w:rsidR="00DC77A9" w:rsidRPr="007C0ACA">
        <w:t>P</w:t>
      </w:r>
      <w:r w:rsidR="00376D0F" w:rsidRPr="007C0ACA">
        <w:t xml:space="preserve">ropensity, </w:t>
      </w:r>
      <w:r w:rsidR="00376D0F" w:rsidRPr="007C0ACA">
        <w:rPr>
          <w:i/>
        </w:rPr>
        <w:t>J. Mol. Model</w:t>
      </w:r>
      <w:r w:rsidR="00376D0F" w:rsidRPr="007C0ACA">
        <w:t xml:space="preserve">.,  </w:t>
      </w:r>
      <w:r w:rsidR="00376D0F" w:rsidRPr="007C0ACA">
        <w:rPr>
          <w:b/>
        </w:rPr>
        <w:t>2013</w:t>
      </w:r>
      <w:r w:rsidR="00376D0F" w:rsidRPr="007C0ACA">
        <w:t xml:space="preserve">, </w:t>
      </w:r>
      <w:r w:rsidR="00376D0F" w:rsidRPr="007C0ACA">
        <w:rPr>
          <w:i/>
        </w:rPr>
        <w:t>19</w:t>
      </w:r>
      <w:r w:rsidR="00376D0F" w:rsidRPr="007C0ACA">
        <w:t>, 4305–4318</w:t>
      </w:r>
      <w:r w:rsidR="00376D0F" w:rsidRPr="007C0ACA">
        <w:rPr>
          <w:rFonts w:ascii="Calibri" w:hAnsi="Calibri" w:cs="Calibri"/>
          <w:noProof/>
          <w:szCs w:val="24"/>
        </w:rPr>
        <w:t xml:space="preserve">. </w:t>
      </w:r>
    </w:p>
    <w:p w14:paraId="6469C724" w14:textId="77C69158"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(35) </w:t>
      </w:r>
      <w:r w:rsidR="00557A95" w:rsidRPr="007C0ACA">
        <w:rPr>
          <w:rFonts w:ascii="Calibri" w:hAnsi="Calibri" w:cs="Calibri"/>
          <w:noProof/>
          <w:szCs w:val="24"/>
        </w:rPr>
        <w:t xml:space="preserve">Bisetty, </w:t>
      </w:r>
      <w:r w:rsidR="00376D0F" w:rsidRPr="007C0ACA">
        <w:t>K.</w:t>
      </w:r>
      <w:r w:rsidR="00557A95" w:rsidRPr="007C0ACA">
        <w:t>; Gomez-Catalan,</w:t>
      </w:r>
      <w:r w:rsidR="00376D0F" w:rsidRPr="007C0ACA">
        <w:t xml:space="preserve"> J.</w:t>
      </w:r>
      <w:r w:rsidR="00557A95" w:rsidRPr="007C0ACA">
        <w:t>; Aleman,</w:t>
      </w:r>
      <w:r w:rsidR="00376D0F" w:rsidRPr="007C0ACA">
        <w:t xml:space="preserve"> C.</w:t>
      </w:r>
      <w:r w:rsidR="00557A95" w:rsidRPr="007C0ACA">
        <w:t>; Giralt,</w:t>
      </w:r>
      <w:r w:rsidR="00376D0F" w:rsidRPr="007C0ACA">
        <w:t xml:space="preserve"> E.</w:t>
      </w:r>
      <w:r w:rsidR="00557A95" w:rsidRPr="007C0ACA">
        <w:t>; Kruger,</w:t>
      </w:r>
      <w:r w:rsidR="00376D0F" w:rsidRPr="007C0ACA">
        <w:t xml:space="preserve"> H. G.</w:t>
      </w:r>
      <w:r w:rsidR="00557A95" w:rsidRPr="007C0ACA">
        <w:t xml:space="preserve">; Perez, </w:t>
      </w:r>
      <w:r w:rsidR="00376D0F" w:rsidRPr="007C0ACA">
        <w:t xml:space="preserve">J. J. Computational </w:t>
      </w:r>
      <w:r w:rsidR="00DC77A9" w:rsidRPr="007C0ACA">
        <w:t>S</w:t>
      </w:r>
      <w:r w:rsidR="00376D0F" w:rsidRPr="007C0ACA">
        <w:t xml:space="preserve">tudy of the </w:t>
      </w:r>
      <w:r w:rsidR="00DC77A9" w:rsidRPr="007C0ACA">
        <w:t>C</w:t>
      </w:r>
      <w:r w:rsidR="00376D0F" w:rsidRPr="007C0ACA">
        <w:t xml:space="preserve">onformational </w:t>
      </w:r>
      <w:r w:rsidR="00DC77A9" w:rsidRPr="007C0ACA">
        <w:t>P</w:t>
      </w:r>
      <w:r w:rsidR="00376D0F" w:rsidRPr="007C0ACA">
        <w:t>references of the (R)-8-amino-</w:t>
      </w:r>
      <w:r w:rsidR="00376D0F" w:rsidRPr="007C0ACA">
        <w:lastRenderedPageBreak/>
        <w:t xml:space="preserve">pentacyclo[5.4.0.0(2,6).0(3,10).0(5,9)]undecane-8-carboxylic </w:t>
      </w:r>
      <w:r w:rsidR="00DC77A9" w:rsidRPr="007C0ACA">
        <w:t>A</w:t>
      </w:r>
      <w:r w:rsidR="00376D0F" w:rsidRPr="007C0ACA">
        <w:t xml:space="preserve">cid </w:t>
      </w:r>
      <w:r w:rsidR="00DC77A9" w:rsidRPr="007C0ACA">
        <w:t>M</w:t>
      </w:r>
      <w:r w:rsidR="00376D0F" w:rsidRPr="007C0ACA">
        <w:t xml:space="preserve">onopeptide, </w:t>
      </w:r>
      <w:r w:rsidR="00376D0F" w:rsidRPr="007C0ACA">
        <w:rPr>
          <w:i/>
        </w:rPr>
        <w:t>J. Pept. Sci.,</w:t>
      </w:r>
      <w:r w:rsidR="00376D0F" w:rsidRPr="007C0ACA">
        <w:t xml:space="preserve"> </w:t>
      </w:r>
      <w:r w:rsidR="00376D0F" w:rsidRPr="007C0ACA">
        <w:rPr>
          <w:b/>
        </w:rPr>
        <w:t>2004</w:t>
      </w:r>
      <w:r w:rsidR="00376D0F" w:rsidRPr="007C0ACA">
        <w:t xml:space="preserve">, </w:t>
      </w:r>
      <w:r w:rsidR="00376D0F" w:rsidRPr="007C0ACA">
        <w:rPr>
          <w:i/>
        </w:rPr>
        <w:t>10</w:t>
      </w:r>
      <w:r w:rsidR="00376D0F" w:rsidRPr="007C0ACA">
        <w:t>, 274-284</w:t>
      </w:r>
      <w:r w:rsidR="00376D0F" w:rsidRPr="007C0ACA">
        <w:rPr>
          <w:rFonts w:ascii="Calibri" w:hAnsi="Calibri" w:cs="Calibri"/>
          <w:noProof/>
          <w:szCs w:val="24"/>
        </w:rPr>
        <w:t xml:space="preserve">. </w:t>
      </w:r>
    </w:p>
    <w:p w14:paraId="4909A989" w14:textId="4256A113" w:rsidR="00376D0F" w:rsidRPr="007C0ACA" w:rsidRDefault="0010098B" w:rsidP="00557A95">
      <w:pPr>
        <w:pStyle w:val="Senseespaiat"/>
        <w:spacing w:line="276" w:lineRule="auto"/>
        <w:jc w:val="both"/>
        <w:rPr>
          <w:rFonts w:ascii="Calibri" w:hAnsi="Calibri" w:cs="Calibri"/>
          <w:noProof/>
          <w:szCs w:val="24"/>
        </w:rPr>
      </w:pPr>
      <w:r w:rsidRPr="007C0ACA">
        <w:rPr>
          <w:rFonts w:ascii="Calibri" w:hAnsi="Calibri" w:cs="Calibri"/>
          <w:noProof/>
          <w:szCs w:val="24"/>
        </w:rPr>
        <w:t>(36)</w:t>
      </w:r>
      <w:r w:rsidR="00557A95" w:rsidRPr="007C0ACA">
        <w:rPr>
          <w:rFonts w:ascii="Calibri" w:hAnsi="Calibri" w:cs="Calibri"/>
          <w:noProof/>
          <w:szCs w:val="24"/>
        </w:rPr>
        <w:t xml:space="preserve"> Maier,</w:t>
      </w:r>
      <w:r w:rsidRPr="007C0ACA">
        <w:rPr>
          <w:rFonts w:ascii="Calibri" w:hAnsi="Calibri" w:cs="Calibri"/>
          <w:noProof/>
          <w:szCs w:val="24"/>
        </w:rPr>
        <w:t xml:space="preserve"> </w:t>
      </w:r>
      <w:r w:rsidR="00376D0F" w:rsidRPr="007C0ACA">
        <w:t>J. A.</w:t>
      </w:r>
      <w:r w:rsidR="00557A95" w:rsidRPr="007C0ACA">
        <w:t>; Martinez,</w:t>
      </w:r>
      <w:r w:rsidR="00376D0F" w:rsidRPr="007C0ACA">
        <w:t xml:space="preserve"> C.</w:t>
      </w:r>
      <w:r w:rsidR="00557A95" w:rsidRPr="007C0ACA">
        <w:t>; Kasavajhala,</w:t>
      </w:r>
      <w:r w:rsidR="00376D0F" w:rsidRPr="007C0ACA">
        <w:t xml:space="preserve"> K.</w:t>
      </w:r>
      <w:r w:rsidR="00557A95" w:rsidRPr="007C0ACA">
        <w:t>; Wickstrom,</w:t>
      </w:r>
      <w:r w:rsidR="00376D0F" w:rsidRPr="007C0ACA">
        <w:t xml:space="preserve"> L.</w:t>
      </w:r>
      <w:r w:rsidR="00557A95" w:rsidRPr="007C0ACA">
        <w:t>; Hauser,</w:t>
      </w:r>
      <w:r w:rsidR="00376D0F" w:rsidRPr="007C0ACA">
        <w:t xml:space="preserve"> K. E.</w:t>
      </w:r>
      <w:r w:rsidR="00557A95" w:rsidRPr="007C0ACA">
        <w:t>; Simmerling,</w:t>
      </w:r>
      <w:r w:rsidR="00376D0F" w:rsidRPr="007C0ACA">
        <w:t xml:space="preserve"> C. ff14SB: Improving the </w:t>
      </w:r>
      <w:r w:rsidR="00DC77A9" w:rsidRPr="007C0ACA">
        <w:t>A</w:t>
      </w:r>
      <w:r w:rsidR="00376D0F" w:rsidRPr="007C0ACA">
        <w:t xml:space="preserve">ccuracy of </w:t>
      </w:r>
      <w:r w:rsidR="00DC77A9" w:rsidRPr="007C0ACA">
        <w:t>P</w:t>
      </w:r>
      <w:r w:rsidR="00376D0F" w:rsidRPr="007C0ACA">
        <w:t xml:space="preserve">rotein </w:t>
      </w:r>
      <w:r w:rsidR="00DC77A9" w:rsidRPr="007C0ACA">
        <w:t>S</w:t>
      </w:r>
      <w:r w:rsidR="00376D0F" w:rsidRPr="007C0ACA">
        <w:t xml:space="preserve">ide </w:t>
      </w:r>
      <w:r w:rsidR="00DC77A9" w:rsidRPr="007C0ACA">
        <w:t>C</w:t>
      </w:r>
      <w:r w:rsidR="00376D0F" w:rsidRPr="007C0ACA">
        <w:t xml:space="preserve">hain and </w:t>
      </w:r>
      <w:r w:rsidR="00DC77A9" w:rsidRPr="007C0ACA">
        <w:t>B</w:t>
      </w:r>
      <w:r w:rsidR="00376D0F" w:rsidRPr="007C0ACA">
        <w:t xml:space="preserve">ackbone </w:t>
      </w:r>
      <w:r w:rsidR="00DC77A9" w:rsidRPr="007C0ACA">
        <w:t>P</w:t>
      </w:r>
      <w:r w:rsidR="00376D0F" w:rsidRPr="007C0ACA">
        <w:t xml:space="preserve">arameters from ff99SB, </w:t>
      </w:r>
      <w:r w:rsidR="00376D0F" w:rsidRPr="007C0ACA">
        <w:rPr>
          <w:i/>
        </w:rPr>
        <w:t>J. Chem. Theory Comput</w:t>
      </w:r>
      <w:r w:rsidR="00376D0F" w:rsidRPr="007C0ACA">
        <w:t xml:space="preserve">., </w:t>
      </w:r>
      <w:r w:rsidR="00376D0F" w:rsidRPr="007C0ACA">
        <w:rPr>
          <w:b/>
        </w:rPr>
        <w:t>2015</w:t>
      </w:r>
      <w:r w:rsidR="00376D0F" w:rsidRPr="007C0ACA">
        <w:t xml:space="preserve">, </w:t>
      </w:r>
      <w:r w:rsidR="00376D0F" w:rsidRPr="007C0ACA">
        <w:rPr>
          <w:i/>
        </w:rPr>
        <w:t>11</w:t>
      </w:r>
      <w:r w:rsidR="00376D0F" w:rsidRPr="007C0ACA">
        <w:t>, 3696-3713</w:t>
      </w:r>
      <w:r w:rsidR="00376D0F" w:rsidRPr="007C0ACA">
        <w:rPr>
          <w:rFonts w:ascii="Calibri" w:hAnsi="Calibri" w:cs="Calibri"/>
          <w:noProof/>
          <w:szCs w:val="24"/>
        </w:rPr>
        <w:t xml:space="preserve">. </w:t>
      </w:r>
    </w:p>
    <w:p w14:paraId="12B9D778" w14:textId="1D4FB6E0" w:rsidR="00376D0F" w:rsidRPr="007C0ACA" w:rsidRDefault="0010098B" w:rsidP="00557A95">
      <w:pPr>
        <w:autoSpaceDE w:val="0"/>
        <w:autoSpaceDN w:val="0"/>
        <w:adjustRightInd w:val="0"/>
        <w:spacing w:after="0" w:line="240" w:lineRule="auto"/>
        <w:jc w:val="both"/>
      </w:pPr>
      <w:r w:rsidRPr="007C0ACA">
        <w:t xml:space="preserve">(37) </w:t>
      </w:r>
      <w:r w:rsidR="00557A95" w:rsidRPr="007C0ACA">
        <w:t xml:space="preserve">Hornak, V.; Abel, R.; Okur, A.; Strockbine, B.; Roitberg, A.; Simmerling, C. Comparison of </w:t>
      </w:r>
      <w:r w:rsidR="00DC77A9" w:rsidRPr="007C0ACA">
        <w:t>M</w:t>
      </w:r>
      <w:r w:rsidR="00557A95" w:rsidRPr="007C0ACA">
        <w:t xml:space="preserve">ultiple Amber </w:t>
      </w:r>
      <w:r w:rsidR="00DC77A9" w:rsidRPr="007C0ACA">
        <w:t>F</w:t>
      </w:r>
      <w:r w:rsidR="00557A95" w:rsidRPr="007C0ACA">
        <w:t xml:space="preserve">orce </w:t>
      </w:r>
      <w:r w:rsidR="00DC77A9" w:rsidRPr="007C0ACA">
        <w:t>F</w:t>
      </w:r>
      <w:r w:rsidR="00557A95" w:rsidRPr="007C0ACA">
        <w:t xml:space="preserve">ields and </w:t>
      </w:r>
      <w:r w:rsidR="00DC77A9" w:rsidRPr="007C0ACA">
        <w:t>D</w:t>
      </w:r>
      <w:r w:rsidR="00557A95" w:rsidRPr="007C0ACA">
        <w:t xml:space="preserve">evelopment of </w:t>
      </w:r>
      <w:r w:rsidR="00DC77A9" w:rsidRPr="007C0ACA">
        <w:t>I</w:t>
      </w:r>
      <w:r w:rsidR="00557A95" w:rsidRPr="007C0ACA">
        <w:t xml:space="preserve">mproved </w:t>
      </w:r>
      <w:r w:rsidR="00DC77A9" w:rsidRPr="007C0ACA">
        <w:t>P</w:t>
      </w:r>
      <w:r w:rsidR="00557A95" w:rsidRPr="007C0ACA">
        <w:t xml:space="preserve">rotein </w:t>
      </w:r>
      <w:r w:rsidR="00DC77A9" w:rsidRPr="007C0ACA">
        <w:t>B</w:t>
      </w:r>
      <w:r w:rsidR="00557A95" w:rsidRPr="007C0ACA">
        <w:t xml:space="preserve">ackbone </w:t>
      </w:r>
      <w:r w:rsidR="00DC77A9" w:rsidRPr="007C0ACA">
        <w:t>P</w:t>
      </w:r>
      <w:r w:rsidR="00557A95" w:rsidRPr="007C0ACA">
        <w:t xml:space="preserve">arameters. </w:t>
      </w:r>
      <w:r w:rsidR="00557A95" w:rsidRPr="007C0ACA">
        <w:rPr>
          <w:i/>
        </w:rPr>
        <w:t>Proteins</w:t>
      </w:r>
      <w:r w:rsidR="00557A95" w:rsidRPr="007C0ACA">
        <w:t xml:space="preserve"> </w:t>
      </w:r>
      <w:r w:rsidR="00557A95" w:rsidRPr="007C0ACA">
        <w:rPr>
          <w:b/>
        </w:rPr>
        <w:t>2006</w:t>
      </w:r>
      <w:r w:rsidR="00557A95" w:rsidRPr="007C0ACA">
        <w:t xml:space="preserve">, </w:t>
      </w:r>
      <w:r w:rsidR="00557A95" w:rsidRPr="007C0ACA">
        <w:rPr>
          <w:i/>
        </w:rPr>
        <w:t>65</w:t>
      </w:r>
      <w:r w:rsidR="00557A95" w:rsidRPr="007C0ACA">
        <w:t>, 712−725.</w:t>
      </w:r>
    </w:p>
    <w:p w14:paraId="7E8BE33E" w14:textId="6DF11B5A" w:rsidR="00376D0F" w:rsidRPr="007C0ACA" w:rsidRDefault="0010098B" w:rsidP="00557A95">
      <w:pPr>
        <w:pStyle w:val="Senseespaiat"/>
        <w:spacing w:line="276" w:lineRule="auto"/>
        <w:jc w:val="both"/>
        <w:rPr>
          <w:rFonts w:ascii="Calibri" w:hAnsi="Calibri" w:cs="Calibri"/>
          <w:noProof/>
          <w:szCs w:val="24"/>
        </w:rPr>
      </w:pPr>
      <w:r w:rsidRPr="007C0ACA">
        <w:rPr>
          <w:rFonts w:ascii="Calibri" w:hAnsi="Calibri" w:cs="Calibri"/>
          <w:noProof/>
          <w:szCs w:val="24"/>
        </w:rPr>
        <w:t xml:space="preserve">(38) </w:t>
      </w:r>
      <w:r w:rsidR="00557A95" w:rsidRPr="007C0ACA">
        <w:rPr>
          <w:rFonts w:ascii="Calibri" w:hAnsi="Calibri" w:cs="Calibri"/>
          <w:noProof/>
          <w:szCs w:val="24"/>
        </w:rPr>
        <w:t xml:space="preserve">Jorgensen, W. L.; Chandrasekhar, J.; Madura, J. D.; Impey, R. W.; Klein, M. L. Comparison of </w:t>
      </w:r>
      <w:r w:rsidR="00DC77A9" w:rsidRPr="007C0ACA">
        <w:rPr>
          <w:rFonts w:ascii="Calibri" w:hAnsi="Calibri" w:cs="Calibri"/>
          <w:noProof/>
          <w:szCs w:val="24"/>
        </w:rPr>
        <w:t>S</w:t>
      </w:r>
      <w:r w:rsidR="00557A95" w:rsidRPr="007C0ACA">
        <w:rPr>
          <w:rFonts w:ascii="Calibri" w:hAnsi="Calibri" w:cs="Calibri"/>
          <w:noProof/>
          <w:szCs w:val="24"/>
        </w:rPr>
        <w:t xml:space="preserve">imple </w:t>
      </w:r>
      <w:r w:rsidR="00DC77A9" w:rsidRPr="007C0ACA">
        <w:rPr>
          <w:rFonts w:ascii="Calibri" w:hAnsi="Calibri" w:cs="Calibri"/>
          <w:noProof/>
          <w:szCs w:val="24"/>
        </w:rPr>
        <w:t>P</w:t>
      </w:r>
      <w:r w:rsidR="00557A95" w:rsidRPr="007C0ACA">
        <w:rPr>
          <w:rFonts w:ascii="Calibri" w:hAnsi="Calibri" w:cs="Calibri"/>
          <w:noProof/>
          <w:szCs w:val="24"/>
        </w:rPr>
        <w:t xml:space="preserve">otential </w:t>
      </w:r>
      <w:r w:rsidR="00DC77A9" w:rsidRPr="007C0ACA">
        <w:rPr>
          <w:rFonts w:ascii="Calibri" w:hAnsi="Calibri" w:cs="Calibri"/>
          <w:noProof/>
          <w:szCs w:val="24"/>
        </w:rPr>
        <w:t>F</w:t>
      </w:r>
      <w:r w:rsidR="00557A95" w:rsidRPr="007C0ACA">
        <w:rPr>
          <w:rFonts w:ascii="Calibri" w:hAnsi="Calibri" w:cs="Calibri"/>
          <w:noProof/>
          <w:szCs w:val="24"/>
        </w:rPr>
        <w:t xml:space="preserve">unctions for </w:t>
      </w:r>
      <w:r w:rsidR="00DC77A9" w:rsidRPr="007C0ACA">
        <w:rPr>
          <w:rFonts w:ascii="Calibri" w:hAnsi="Calibri" w:cs="Calibri"/>
          <w:noProof/>
          <w:szCs w:val="24"/>
        </w:rPr>
        <w:t>M</w:t>
      </w:r>
      <w:r w:rsidR="00557A95" w:rsidRPr="007C0ACA">
        <w:rPr>
          <w:rFonts w:ascii="Calibri" w:hAnsi="Calibri" w:cs="Calibri"/>
          <w:noProof/>
          <w:szCs w:val="24"/>
        </w:rPr>
        <w:t xml:space="preserve">odeling </w:t>
      </w:r>
      <w:r w:rsidR="00DC77A9" w:rsidRPr="007C0ACA">
        <w:rPr>
          <w:rFonts w:ascii="Calibri" w:hAnsi="Calibri" w:cs="Calibri"/>
          <w:noProof/>
          <w:szCs w:val="24"/>
        </w:rPr>
        <w:t>W</w:t>
      </w:r>
      <w:r w:rsidR="00557A95" w:rsidRPr="007C0ACA">
        <w:rPr>
          <w:rFonts w:ascii="Calibri" w:hAnsi="Calibri" w:cs="Calibri"/>
          <w:noProof/>
          <w:szCs w:val="24"/>
        </w:rPr>
        <w:t>ater</w:t>
      </w:r>
      <w:r w:rsidR="00D461A5" w:rsidRPr="007C0ACA">
        <w:rPr>
          <w:rFonts w:ascii="Calibri" w:hAnsi="Calibri" w:cs="Calibri"/>
          <w:noProof/>
          <w:szCs w:val="24"/>
        </w:rPr>
        <w:t>,</w:t>
      </w:r>
      <w:r w:rsidR="00557A95" w:rsidRPr="007C0ACA">
        <w:rPr>
          <w:rFonts w:ascii="Calibri" w:hAnsi="Calibri" w:cs="Calibri"/>
          <w:noProof/>
          <w:szCs w:val="24"/>
        </w:rPr>
        <w:t xml:space="preserve"> </w:t>
      </w:r>
      <w:r w:rsidR="00557A95" w:rsidRPr="007C0ACA">
        <w:rPr>
          <w:rFonts w:ascii="Calibri" w:hAnsi="Calibri" w:cs="Calibri"/>
          <w:i/>
          <w:noProof/>
          <w:szCs w:val="24"/>
        </w:rPr>
        <w:t>J. Chem. Phys.</w:t>
      </w:r>
      <w:r w:rsidR="00D461A5" w:rsidRPr="007C0ACA">
        <w:rPr>
          <w:rFonts w:ascii="Calibri" w:hAnsi="Calibri" w:cs="Calibri"/>
          <w:noProof/>
          <w:szCs w:val="24"/>
        </w:rPr>
        <w:t>,</w:t>
      </w:r>
      <w:r w:rsidR="00557A95" w:rsidRPr="007C0ACA">
        <w:rPr>
          <w:rFonts w:ascii="Calibri" w:hAnsi="Calibri" w:cs="Calibri"/>
          <w:noProof/>
          <w:szCs w:val="24"/>
        </w:rPr>
        <w:t xml:space="preserve"> </w:t>
      </w:r>
      <w:r w:rsidR="00557A95" w:rsidRPr="007C0ACA">
        <w:rPr>
          <w:rFonts w:ascii="Calibri" w:hAnsi="Calibri" w:cs="Calibri"/>
          <w:b/>
          <w:noProof/>
          <w:szCs w:val="24"/>
        </w:rPr>
        <w:t>1983</w:t>
      </w:r>
      <w:r w:rsidR="00557A95" w:rsidRPr="007C0ACA">
        <w:rPr>
          <w:rFonts w:ascii="Calibri" w:hAnsi="Calibri" w:cs="Calibri"/>
          <w:noProof/>
          <w:szCs w:val="24"/>
        </w:rPr>
        <w:t xml:space="preserve">, </w:t>
      </w:r>
      <w:r w:rsidR="00557A95" w:rsidRPr="007C0ACA">
        <w:rPr>
          <w:rFonts w:ascii="Calibri" w:hAnsi="Calibri" w:cs="Calibri"/>
          <w:i/>
          <w:noProof/>
          <w:szCs w:val="24"/>
        </w:rPr>
        <w:t>79</w:t>
      </w:r>
      <w:r w:rsidR="00557A95" w:rsidRPr="007C0ACA">
        <w:rPr>
          <w:rFonts w:ascii="Calibri" w:hAnsi="Calibri" w:cs="Calibri"/>
          <w:noProof/>
          <w:szCs w:val="24"/>
        </w:rPr>
        <w:t>, 926−935</w:t>
      </w:r>
      <w:r w:rsidR="00376D0F" w:rsidRPr="007C0ACA">
        <w:rPr>
          <w:rFonts w:ascii="Calibri" w:hAnsi="Calibri" w:cs="Calibri"/>
          <w:noProof/>
          <w:szCs w:val="24"/>
        </w:rPr>
        <w:t xml:space="preserve">. </w:t>
      </w:r>
    </w:p>
    <w:p w14:paraId="5799BAC2" w14:textId="7E4D4BAF" w:rsidR="00376D0F" w:rsidRPr="007C0ACA" w:rsidRDefault="0010098B" w:rsidP="0010098B">
      <w:pPr>
        <w:pStyle w:val="Senseespaiat"/>
        <w:spacing w:line="276" w:lineRule="auto"/>
        <w:jc w:val="both"/>
        <w:rPr>
          <w:rFonts w:ascii="Calibri" w:hAnsi="Calibri" w:cs="Calibri"/>
          <w:noProof/>
          <w:szCs w:val="24"/>
        </w:rPr>
      </w:pPr>
      <w:bookmarkStart w:id="21" w:name="_Hlk19191994"/>
      <w:r w:rsidRPr="007C0ACA">
        <w:rPr>
          <w:rFonts w:ascii="Calibri" w:hAnsi="Calibri" w:cs="Calibri"/>
          <w:noProof/>
          <w:szCs w:val="24"/>
        </w:rPr>
        <w:t xml:space="preserve">(39) </w:t>
      </w:r>
      <w:r w:rsidR="00557A95" w:rsidRPr="007C0ACA">
        <w:rPr>
          <w:rFonts w:ascii="Calibri" w:hAnsi="Calibri" w:cs="Calibri"/>
          <w:noProof/>
          <w:szCs w:val="24"/>
        </w:rPr>
        <w:t xml:space="preserve">Arfken, </w:t>
      </w:r>
      <w:r w:rsidR="00376D0F" w:rsidRPr="007C0ACA">
        <w:t>G.</w:t>
      </w:r>
      <w:r w:rsidR="00603A2E" w:rsidRPr="007C0ACA">
        <w:t xml:space="preserve"> B</w:t>
      </w:r>
      <w:r w:rsidR="00557A95" w:rsidRPr="007C0ACA">
        <w:t xml:space="preserve">.; Weber, </w:t>
      </w:r>
      <w:r w:rsidR="00603A2E" w:rsidRPr="007C0ACA">
        <w:t>H. J</w:t>
      </w:r>
      <w:r w:rsidR="00557A95" w:rsidRPr="007C0ACA">
        <w:t>.</w:t>
      </w:r>
      <w:r w:rsidR="00603A2E" w:rsidRPr="007C0ACA">
        <w:t xml:space="preserve"> </w:t>
      </w:r>
      <w:r w:rsidR="00603A2E" w:rsidRPr="007C0ACA">
        <w:rPr>
          <w:i/>
        </w:rPr>
        <w:t>Mathematical Methods for Physicists</w:t>
      </w:r>
      <w:r w:rsidR="00603A2E" w:rsidRPr="007C0ACA">
        <w:t>, Elsevier Academic Press</w:t>
      </w:r>
      <w:r w:rsidR="00B21D1A" w:rsidRPr="007C0ACA">
        <w:t>, 6th edition,</w:t>
      </w:r>
      <w:r w:rsidR="00603A2E" w:rsidRPr="007C0ACA">
        <w:t xml:space="preserve"> 2005</w:t>
      </w:r>
      <w:r w:rsidR="00B21D1A" w:rsidRPr="007C0ACA">
        <w:t xml:space="preserve">, </w:t>
      </w:r>
      <w:r w:rsidR="00376D0F" w:rsidRPr="007C0ACA">
        <w:t xml:space="preserve"> </w:t>
      </w:r>
      <w:r w:rsidR="00B21D1A" w:rsidRPr="007C0ACA">
        <w:t>Method of Steepest Descents,</w:t>
      </w:r>
      <w:r w:rsidR="00376D0F" w:rsidRPr="007C0ACA">
        <w:t xml:space="preserve"> </w:t>
      </w:r>
      <w:r w:rsidR="00603A2E" w:rsidRPr="007C0ACA">
        <w:t>489-497.</w:t>
      </w:r>
      <w:bookmarkEnd w:id="21"/>
      <w:r w:rsidR="00376D0F" w:rsidRPr="007C0ACA">
        <w:rPr>
          <w:rFonts w:ascii="Calibri" w:hAnsi="Calibri" w:cs="Calibri"/>
          <w:noProof/>
          <w:szCs w:val="24"/>
        </w:rPr>
        <w:t xml:space="preserve"> </w:t>
      </w:r>
    </w:p>
    <w:p w14:paraId="3F9E7A6B" w14:textId="286F4374"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(40) </w:t>
      </w:r>
      <w:r w:rsidR="00557A95" w:rsidRPr="007C0ACA">
        <w:rPr>
          <w:rFonts w:ascii="Calibri" w:hAnsi="Calibri" w:cs="Calibri"/>
          <w:noProof/>
          <w:szCs w:val="24"/>
        </w:rPr>
        <w:t xml:space="preserve">Allen, </w:t>
      </w:r>
      <w:r w:rsidR="00376D0F" w:rsidRPr="007C0ACA">
        <w:t>M. P.</w:t>
      </w:r>
      <w:r w:rsidR="00557A95" w:rsidRPr="007C0ACA">
        <w:t>; Tildesley,</w:t>
      </w:r>
      <w:r w:rsidR="00376D0F" w:rsidRPr="007C0ACA">
        <w:t xml:space="preserve"> D. J. </w:t>
      </w:r>
      <w:r w:rsidR="00376D0F" w:rsidRPr="007C0ACA">
        <w:rPr>
          <w:i/>
        </w:rPr>
        <w:t>Computer Simulation of Liquids</w:t>
      </w:r>
      <w:r w:rsidR="00603A2E" w:rsidRPr="007C0ACA">
        <w:t>,</w:t>
      </w:r>
      <w:r w:rsidR="00376D0F" w:rsidRPr="007C0ACA">
        <w:t xml:space="preserve"> Oxford University </w:t>
      </w:r>
      <w:r w:rsidR="00603A2E" w:rsidRPr="007C0ACA">
        <w:t>P</w:t>
      </w:r>
      <w:r w:rsidR="00376D0F" w:rsidRPr="007C0ACA">
        <w:t>ress</w:t>
      </w:r>
      <w:r w:rsidR="00603A2E" w:rsidRPr="007C0ACA">
        <w:t>,</w:t>
      </w:r>
      <w:r w:rsidR="00376D0F" w:rsidRPr="007C0ACA">
        <w:t>New York</w:t>
      </w:r>
      <w:r w:rsidR="00603A2E" w:rsidRPr="007C0ACA">
        <w:rPr>
          <w:rFonts w:ascii="Calibri" w:hAnsi="Calibri" w:cs="Calibri"/>
          <w:noProof/>
          <w:szCs w:val="24"/>
        </w:rPr>
        <w:t>, 2017.</w:t>
      </w:r>
    </w:p>
    <w:p w14:paraId="3DCB41D3" w14:textId="6F18E698"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(41) </w:t>
      </w:r>
      <w:r w:rsidR="00557A95" w:rsidRPr="007C0ACA">
        <w:rPr>
          <w:rFonts w:ascii="Calibri" w:hAnsi="Calibri" w:cs="Calibri"/>
          <w:noProof/>
          <w:szCs w:val="24"/>
        </w:rPr>
        <w:t xml:space="preserve">Ryckaert, </w:t>
      </w:r>
      <w:r w:rsidR="00376D0F" w:rsidRPr="007C0ACA">
        <w:t>J. P.</w:t>
      </w:r>
      <w:r w:rsidR="00557A95" w:rsidRPr="007C0ACA">
        <w:t>; Ciccotti,</w:t>
      </w:r>
      <w:r w:rsidR="00376D0F" w:rsidRPr="007C0ACA">
        <w:t xml:space="preserve"> G.</w:t>
      </w:r>
      <w:r w:rsidR="00557A95" w:rsidRPr="007C0ACA">
        <w:t xml:space="preserve">;  Berendsen, </w:t>
      </w:r>
      <w:r w:rsidR="00376D0F" w:rsidRPr="007C0ACA">
        <w:t>H. J. C.</w:t>
      </w:r>
      <w:r w:rsidR="00557A95" w:rsidRPr="007C0ACA">
        <w:t>;</w:t>
      </w:r>
      <w:r w:rsidR="00376D0F" w:rsidRPr="007C0ACA">
        <w:t xml:space="preserve"> Numerical </w:t>
      </w:r>
      <w:r w:rsidR="00DC77A9" w:rsidRPr="007C0ACA">
        <w:t>I</w:t>
      </w:r>
      <w:r w:rsidR="00376D0F" w:rsidRPr="007C0ACA">
        <w:t xml:space="preserve">ntegration of the </w:t>
      </w:r>
      <w:r w:rsidR="00DC77A9" w:rsidRPr="007C0ACA">
        <w:t>C</w:t>
      </w:r>
      <w:r w:rsidR="00376D0F" w:rsidRPr="007C0ACA">
        <w:t xml:space="preserve">artesian </w:t>
      </w:r>
      <w:r w:rsidR="00DC77A9" w:rsidRPr="007C0ACA">
        <w:t>E</w:t>
      </w:r>
      <w:r w:rsidR="00376D0F" w:rsidRPr="007C0ACA">
        <w:t xml:space="preserve">quations of </w:t>
      </w:r>
      <w:r w:rsidR="00DC77A9" w:rsidRPr="007C0ACA">
        <w:t>M</w:t>
      </w:r>
      <w:r w:rsidR="00376D0F" w:rsidRPr="007C0ACA">
        <w:t xml:space="preserve">otion of a </w:t>
      </w:r>
      <w:r w:rsidR="00DC77A9" w:rsidRPr="007C0ACA">
        <w:t>S</w:t>
      </w:r>
      <w:r w:rsidR="00376D0F" w:rsidRPr="007C0ACA">
        <w:t xml:space="preserve">ystem with </w:t>
      </w:r>
      <w:r w:rsidR="00DC77A9" w:rsidRPr="007C0ACA">
        <w:t>C</w:t>
      </w:r>
      <w:r w:rsidR="00376D0F" w:rsidRPr="007C0ACA">
        <w:t xml:space="preserve">onstraints: </w:t>
      </w:r>
      <w:r w:rsidR="00DC77A9" w:rsidRPr="007C0ACA">
        <w:t>M</w:t>
      </w:r>
      <w:r w:rsidR="00376D0F" w:rsidRPr="007C0ACA">
        <w:t xml:space="preserve">olecular </w:t>
      </w:r>
      <w:r w:rsidR="00DC77A9" w:rsidRPr="007C0ACA">
        <w:t>D</w:t>
      </w:r>
      <w:r w:rsidR="00376D0F" w:rsidRPr="007C0ACA">
        <w:t xml:space="preserve">ynamics of </w:t>
      </w:r>
      <w:r w:rsidR="00DC77A9" w:rsidRPr="007C0ACA">
        <w:t>N</w:t>
      </w:r>
      <w:r w:rsidR="00376D0F" w:rsidRPr="007C0ACA">
        <w:t>-</w:t>
      </w:r>
      <w:r w:rsidR="00DC77A9" w:rsidRPr="007C0ACA">
        <w:t>A</w:t>
      </w:r>
      <w:r w:rsidR="00376D0F" w:rsidRPr="007C0ACA">
        <w:t xml:space="preserve">lkanes, </w:t>
      </w:r>
      <w:r w:rsidR="00376D0F" w:rsidRPr="007C0ACA">
        <w:rPr>
          <w:i/>
        </w:rPr>
        <w:t>J. Comput. Phys</w:t>
      </w:r>
      <w:r w:rsidR="00376D0F" w:rsidRPr="007C0ACA">
        <w:t xml:space="preserve">., </w:t>
      </w:r>
      <w:r w:rsidR="00376D0F" w:rsidRPr="007C0ACA">
        <w:rPr>
          <w:b/>
        </w:rPr>
        <w:t>1977</w:t>
      </w:r>
      <w:r w:rsidR="00376D0F" w:rsidRPr="007C0ACA">
        <w:t xml:space="preserve">, </w:t>
      </w:r>
      <w:r w:rsidR="00376D0F" w:rsidRPr="007C0ACA">
        <w:rPr>
          <w:i/>
        </w:rPr>
        <w:t>23</w:t>
      </w:r>
      <w:r w:rsidR="00376D0F" w:rsidRPr="007C0ACA">
        <w:t>, 327-341</w:t>
      </w:r>
      <w:r w:rsidR="00376D0F" w:rsidRPr="007C0ACA">
        <w:rPr>
          <w:rFonts w:ascii="Calibri" w:hAnsi="Calibri" w:cs="Calibri"/>
          <w:noProof/>
          <w:szCs w:val="24"/>
        </w:rPr>
        <w:t xml:space="preserve">. </w:t>
      </w:r>
    </w:p>
    <w:p w14:paraId="39A90528" w14:textId="7372EA5B"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(42) </w:t>
      </w:r>
      <w:r w:rsidR="00F306B9" w:rsidRPr="007C0ACA">
        <w:rPr>
          <w:rFonts w:ascii="Calibri" w:hAnsi="Calibri" w:cs="Calibri"/>
          <w:noProof/>
          <w:szCs w:val="24"/>
        </w:rPr>
        <w:t xml:space="preserve">Darden, </w:t>
      </w:r>
      <w:r w:rsidR="00376D0F" w:rsidRPr="007C0ACA">
        <w:t>T.</w:t>
      </w:r>
      <w:r w:rsidR="00F306B9" w:rsidRPr="007C0ACA">
        <w:t>; York,</w:t>
      </w:r>
      <w:r w:rsidR="00376D0F" w:rsidRPr="007C0ACA">
        <w:t xml:space="preserve"> D.</w:t>
      </w:r>
      <w:r w:rsidR="00F306B9" w:rsidRPr="007C0ACA">
        <w:t>; Pedersen,</w:t>
      </w:r>
      <w:r w:rsidR="00376D0F" w:rsidRPr="007C0ACA">
        <w:t xml:space="preserve"> L. Particle </w:t>
      </w:r>
      <w:r w:rsidR="00DC77A9" w:rsidRPr="007C0ACA">
        <w:t>M</w:t>
      </w:r>
      <w:r w:rsidR="00376D0F" w:rsidRPr="007C0ACA">
        <w:t xml:space="preserve">esh Ewald-anN.Log(N) </w:t>
      </w:r>
      <w:r w:rsidR="00DC77A9" w:rsidRPr="007C0ACA">
        <w:t>M</w:t>
      </w:r>
      <w:r w:rsidR="00376D0F" w:rsidRPr="007C0ACA">
        <w:t xml:space="preserve">ethod for Ewald </w:t>
      </w:r>
      <w:r w:rsidR="00DC77A9" w:rsidRPr="007C0ACA">
        <w:t>S</w:t>
      </w:r>
      <w:r w:rsidR="00376D0F" w:rsidRPr="007C0ACA">
        <w:t xml:space="preserve">ums in </w:t>
      </w:r>
      <w:r w:rsidR="00DC77A9" w:rsidRPr="007C0ACA">
        <w:t>L</w:t>
      </w:r>
      <w:r w:rsidR="00376D0F" w:rsidRPr="007C0ACA">
        <w:t xml:space="preserve">arge </w:t>
      </w:r>
      <w:r w:rsidR="00DC77A9" w:rsidRPr="007C0ACA">
        <w:t>S</w:t>
      </w:r>
      <w:r w:rsidR="00376D0F" w:rsidRPr="007C0ACA">
        <w:t xml:space="preserve">ystems, </w:t>
      </w:r>
      <w:r w:rsidR="00376D0F" w:rsidRPr="007C0ACA">
        <w:rPr>
          <w:i/>
        </w:rPr>
        <w:t>J. Chem. Phys</w:t>
      </w:r>
      <w:r w:rsidR="00376D0F" w:rsidRPr="007C0ACA">
        <w:t xml:space="preserve">., </w:t>
      </w:r>
      <w:r w:rsidR="00376D0F" w:rsidRPr="007C0ACA">
        <w:rPr>
          <w:b/>
        </w:rPr>
        <w:t>1993</w:t>
      </w:r>
      <w:r w:rsidR="00376D0F" w:rsidRPr="007C0ACA">
        <w:t xml:space="preserve">, </w:t>
      </w:r>
      <w:r w:rsidR="00376D0F" w:rsidRPr="007C0ACA">
        <w:rPr>
          <w:i/>
        </w:rPr>
        <w:t>98</w:t>
      </w:r>
      <w:r w:rsidR="00376D0F" w:rsidRPr="007C0ACA">
        <w:t>, 10089-10092</w:t>
      </w:r>
      <w:r w:rsidR="00376D0F" w:rsidRPr="007C0ACA">
        <w:rPr>
          <w:rFonts w:ascii="Calibri" w:hAnsi="Calibri" w:cs="Calibri"/>
          <w:noProof/>
          <w:szCs w:val="24"/>
        </w:rPr>
        <w:t xml:space="preserve">. </w:t>
      </w:r>
    </w:p>
    <w:p w14:paraId="2437B0A4" w14:textId="1253A703"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(43) </w:t>
      </w:r>
      <w:r w:rsidR="00F306B9" w:rsidRPr="007C0ACA">
        <w:rPr>
          <w:rFonts w:ascii="Calibri" w:hAnsi="Calibri" w:cs="Calibri"/>
          <w:noProof/>
          <w:szCs w:val="24"/>
        </w:rPr>
        <w:t xml:space="preserve">Perez, </w:t>
      </w:r>
      <w:r w:rsidR="00376D0F" w:rsidRPr="007C0ACA">
        <w:t>J. J.</w:t>
      </w:r>
      <w:r w:rsidR="00F306B9" w:rsidRPr="007C0ACA">
        <w:t>; Tomas,</w:t>
      </w:r>
      <w:r w:rsidR="00376D0F" w:rsidRPr="007C0ACA">
        <w:t xml:space="preserve"> M. S.</w:t>
      </w:r>
      <w:r w:rsidR="00F306B9" w:rsidRPr="007C0ACA">
        <w:t>; Rubio-Martinez,</w:t>
      </w:r>
      <w:r w:rsidR="00376D0F" w:rsidRPr="007C0ACA">
        <w:t xml:space="preserve"> J. Assessment of the </w:t>
      </w:r>
      <w:r w:rsidR="00DC77A9" w:rsidRPr="007C0ACA">
        <w:t>S</w:t>
      </w:r>
      <w:r w:rsidR="00376D0F" w:rsidRPr="007C0ACA">
        <w:t xml:space="preserve">ampling </w:t>
      </w:r>
      <w:r w:rsidR="00DC77A9" w:rsidRPr="007C0ACA">
        <w:t>P</w:t>
      </w:r>
      <w:r w:rsidR="00376D0F" w:rsidRPr="007C0ACA">
        <w:t xml:space="preserve">erformance of </w:t>
      </w:r>
      <w:r w:rsidR="00DC77A9" w:rsidRPr="007C0ACA">
        <w:t>M</w:t>
      </w:r>
      <w:r w:rsidR="00376D0F" w:rsidRPr="007C0ACA">
        <w:t>ultiple-</w:t>
      </w:r>
      <w:r w:rsidR="00DC77A9" w:rsidRPr="007C0ACA">
        <w:t>C</w:t>
      </w:r>
      <w:r w:rsidR="00376D0F" w:rsidRPr="007C0ACA">
        <w:t xml:space="preserve">opy </w:t>
      </w:r>
      <w:r w:rsidR="00DC77A9" w:rsidRPr="007C0ACA">
        <w:t>D</w:t>
      </w:r>
      <w:r w:rsidR="00376D0F" w:rsidRPr="007C0ACA">
        <w:t xml:space="preserve">ynamics </w:t>
      </w:r>
      <w:r w:rsidR="00DC77A9" w:rsidRPr="007C0ACA">
        <w:t>v</w:t>
      </w:r>
      <w:r w:rsidR="00376D0F" w:rsidRPr="007C0ACA">
        <w:t xml:space="preserve">ersus a </w:t>
      </w:r>
      <w:r w:rsidR="00DC77A9" w:rsidRPr="007C0ACA">
        <w:t>U</w:t>
      </w:r>
      <w:r w:rsidR="00376D0F" w:rsidRPr="007C0ACA">
        <w:t xml:space="preserve">nique </w:t>
      </w:r>
      <w:r w:rsidR="00DC77A9" w:rsidRPr="007C0ACA">
        <w:t>T</w:t>
      </w:r>
      <w:r w:rsidR="00376D0F" w:rsidRPr="007C0ACA">
        <w:t>rajectory</w:t>
      </w:r>
      <w:r w:rsidR="00D461A5" w:rsidRPr="007C0ACA">
        <w:t>,</w:t>
      </w:r>
      <w:r w:rsidR="00376D0F" w:rsidRPr="007C0ACA">
        <w:t xml:space="preserve"> </w:t>
      </w:r>
      <w:r w:rsidR="00376D0F" w:rsidRPr="007C0ACA">
        <w:rPr>
          <w:i/>
        </w:rPr>
        <w:t>J. Chem. Inf. Model.</w:t>
      </w:r>
      <w:r w:rsidR="00D461A5" w:rsidRPr="007C0ACA">
        <w:rPr>
          <w:i/>
        </w:rPr>
        <w:t>,</w:t>
      </w:r>
      <w:r w:rsidR="00376D0F" w:rsidRPr="007C0ACA">
        <w:t xml:space="preserve"> </w:t>
      </w:r>
      <w:r w:rsidR="00376D0F" w:rsidRPr="007C0ACA">
        <w:rPr>
          <w:b/>
        </w:rPr>
        <w:t>2016</w:t>
      </w:r>
      <w:r w:rsidR="00376D0F" w:rsidRPr="007C0ACA">
        <w:t xml:space="preserve">, </w:t>
      </w:r>
      <w:r w:rsidR="00376D0F" w:rsidRPr="007C0ACA">
        <w:rPr>
          <w:i/>
        </w:rPr>
        <w:t>56</w:t>
      </w:r>
      <w:r w:rsidR="00376D0F" w:rsidRPr="007C0ACA">
        <w:t>, 1950–1962</w:t>
      </w:r>
      <w:r w:rsidR="00376D0F" w:rsidRPr="007C0ACA">
        <w:rPr>
          <w:rFonts w:ascii="Calibri" w:hAnsi="Calibri" w:cs="Calibri"/>
          <w:noProof/>
          <w:szCs w:val="24"/>
        </w:rPr>
        <w:t xml:space="preserve">. </w:t>
      </w:r>
    </w:p>
    <w:p w14:paraId="078046A5" w14:textId="64EED490"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(44) </w:t>
      </w:r>
      <w:r w:rsidR="00F306B9" w:rsidRPr="007C0ACA">
        <w:rPr>
          <w:rFonts w:ascii="Calibri" w:hAnsi="Calibri" w:cs="Calibri"/>
          <w:noProof/>
          <w:szCs w:val="24"/>
        </w:rPr>
        <w:t xml:space="preserve">Roe, </w:t>
      </w:r>
      <w:r w:rsidR="00376D0F" w:rsidRPr="007C0ACA">
        <w:t>D. R.</w:t>
      </w:r>
      <w:r w:rsidR="00F306B9" w:rsidRPr="007C0ACA">
        <w:t>; Cheatham</w:t>
      </w:r>
      <w:r w:rsidR="00376D0F" w:rsidRPr="007C0ACA">
        <w:t xml:space="preserve"> T. E</w:t>
      </w:r>
      <w:r w:rsidR="00F306B9" w:rsidRPr="007C0ACA">
        <w:t>.</w:t>
      </w:r>
      <w:r w:rsidR="00376D0F" w:rsidRPr="007C0ACA">
        <w:t xml:space="preserve"> PTRAJ and CPPTRAJ: Software for </w:t>
      </w:r>
      <w:r w:rsidR="00DC77A9" w:rsidRPr="007C0ACA">
        <w:t>P</w:t>
      </w:r>
      <w:r w:rsidR="00376D0F" w:rsidRPr="007C0ACA">
        <w:t xml:space="preserve">rocessing and </w:t>
      </w:r>
      <w:r w:rsidR="00DC77A9" w:rsidRPr="007C0ACA">
        <w:t>A</w:t>
      </w:r>
      <w:r w:rsidR="00376D0F" w:rsidRPr="007C0ACA">
        <w:t xml:space="preserve">nalysis of </w:t>
      </w:r>
      <w:r w:rsidR="00DC77A9" w:rsidRPr="007C0ACA">
        <w:t>M</w:t>
      </w:r>
      <w:r w:rsidR="00376D0F" w:rsidRPr="007C0ACA">
        <w:t xml:space="preserve">olecular </w:t>
      </w:r>
      <w:r w:rsidR="00DC77A9" w:rsidRPr="007C0ACA">
        <w:t>D</w:t>
      </w:r>
      <w:r w:rsidR="00376D0F" w:rsidRPr="007C0ACA">
        <w:t xml:space="preserve">ynamics </w:t>
      </w:r>
      <w:r w:rsidR="00DC77A9" w:rsidRPr="007C0ACA">
        <w:t>T</w:t>
      </w:r>
      <w:r w:rsidR="00376D0F" w:rsidRPr="007C0ACA">
        <w:t xml:space="preserve">rajectory </w:t>
      </w:r>
      <w:r w:rsidR="00DC77A9" w:rsidRPr="007C0ACA">
        <w:t>D</w:t>
      </w:r>
      <w:r w:rsidR="00376D0F" w:rsidRPr="007C0ACA">
        <w:t xml:space="preserve">ata, </w:t>
      </w:r>
      <w:r w:rsidR="00376D0F" w:rsidRPr="007C0ACA">
        <w:rPr>
          <w:i/>
        </w:rPr>
        <w:t>J. Chem. Theory Comput.,</w:t>
      </w:r>
      <w:r w:rsidR="00376D0F" w:rsidRPr="007C0ACA">
        <w:t xml:space="preserve"> </w:t>
      </w:r>
      <w:r w:rsidR="00376D0F" w:rsidRPr="007C0ACA">
        <w:rPr>
          <w:b/>
        </w:rPr>
        <w:t>2013</w:t>
      </w:r>
      <w:r w:rsidR="00376D0F" w:rsidRPr="007C0ACA">
        <w:t xml:space="preserve">, </w:t>
      </w:r>
      <w:r w:rsidR="00376D0F" w:rsidRPr="007C0ACA">
        <w:rPr>
          <w:i/>
        </w:rPr>
        <w:t>9</w:t>
      </w:r>
      <w:r w:rsidR="00376D0F" w:rsidRPr="007C0ACA">
        <w:t>, 3084-3095</w:t>
      </w:r>
      <w:r w:rsidR="00376D0F" w:rsidRPr="007C0ACA">
        <w:rPr>
          <w:rFonts w:ascii="Calibri" w:hAnsi="Calibri" w:cs="Calibri"/>
          <w:noProof/>
          <w:szCs w:val="24"/>
        </w:rPr>
        <w:t xml:space="preserve">. </w:t>
      </w:r>
    </w:p>
    <w:p w14:paraId="5F22CADB" w14:textId="5289417A"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(45) </w:t>
      </w:r>
      <w:r w:rsidR="00F306B9" w:rsidRPr="007C0ACA">
        <w:rPr>
          <w:rFonts w:ascii="Calibri" w:hAnsi="Calibri" w:cs="Calibri"/>
          <w:noProof/>
          <w:szCs w:val="24"/>
        </w:rPr>
        <w:t xml:space="preserve">Amadei, </w:t>
      </w:r>
      <w:r w:rsidR="00376D0F" w:rsidRPr="007C0ACA">
        <w:t>A.</w:t>
      </w:r>
      <w:r w:rsidR="00F306B9" w:rsidRPr="007C0ACA">
        <w:t xml:space="preserve"> Linssen, </w:t>
      </w:r>
      <w:r w:rsidR="00376D0F" w:rsidRPr="007C0ACA">
        <w:t>A. B.</w:t>
      </w:r>
      <w:r w:rsidR="00F306B9" w:rsidRPr="007C0ACA">
        <w:t xml:space="preserve">; Berendsen, </w:t>
      </w:r>
      <w:r w:rsidR="00376D0F" w:rsidRPr="007C0ACA">
        <w:t xml:space="preserve">H. J. Essential </w:t>
      </w:r>
      <w:r w:rsidR="00A05991" w:rsidRPr="007C0ACA">
        <w:t>D</w:t>
      </w:r>
      <w:r w:rsidR="00376D0F" w:rsidRPr="007C0ACA">
        <w:t xml:space="preserve">ynamics of </w:t>
      </w:r>
      <w:r w:rsidR="00A05991" w:rsidRPr="007C0ACA">
        <w:t>P</w:t>
      </w:r>
      <w:r w:rsidR="00376D0F" w:rsidRPr="007C0ACA">
        <w:t xml:space="preserve">roteins, </w:t>
      </w:r>
      <w:r w:rsidR="00376D0F" w:rsidRPr="007C0ACA">
        <w:rPr>
          <w:i/>
        </w:rPr>
        <w:t>Proteins</w:t>
      </w:r>
      <w:r w:rsidR="00376D0F" w:rsidRPr="007C0ACA">
        <w:t xml:space="preserve">, </w:t>
      </w:r>
      <w:r w:rsidR="00376D0F" w:rsidRPr="007C0ACA">
        <w:rPr>
          <w:b/>
        </w:rPr>
        <w:t>1993</w:t>
      </w:r>
      <w:r w:rsidR="00376D0F" w:rsidRPr="007C0ACA">
        <w:t xml:space="preserve">, </w:t>
      </w:r>
      <w:r w:rsidR="00376D0F" w:rsidRPr="007C0ACA">
        <w:rPr>
          <w:i/>
        </w:rPr>
        <w:t>17</w:t>
      </w:r>
      <w:r w:rsidR="00376D0F" w:rsidRPr="007C0ACA">
        <w:t>, 412-425</w:t>
      </w:r>
      <w:r w:rsidR="00376D0F" w:rsidRPr="007C0ACA">
        <w:rPr>
          <w:rFonts w:ascii="Calibri" w:hAnsi="Calibri" w:cs="Calibri"/>
          <w:noProof/>
          <w:szCs w:val="24"/>
        </w:rPr>
        <w:t xml:space="preserve">. </w:t>
      </w:r>
    </w:p>
    <w:p w14:paraId="54CD261F" w14:textId="3C9D5514"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(46) </w:t>
      </w:r>
      <w:r w:rsidR="00F306B9" w:rsidRPr="007C0ACA">
        <w:rPr>
          <w:rFonts w:ascii="Calibri" w:hAnsi="Calibri" w:cs="Calibri"/>
          <w:noProof/>
          <w:szCs w:val="24"/>
        </w:rPr>
        <w:t xml:space="preserve">Bakan, </w:t>
      </w:r>
      <w:r w:rsidR="00376D0F" w:rsidRPr="007C0ACA">
        <w:t>A.</w:t>
      </w:r>
      <w:r w:rsidR="00F306B9" w:rsidRPr="007C0ACA">
        <w:t>; Bahar,</w:t>
      </w:r>
      <w:r w:rsidR="00376D0F" w:rsidRPr="007C0ACA">
        <w:t xml:space="preserve"> I. The </w:t>
      </w:r>
      <w:r w:rsidR="00A05991" w:rsidRPr="007C0ACA">
        <w:t>I</w:t>
      </w:r>
      <w:r w:rsidR="00376D0F" w:rsidRPr="007C0ACA">
        <w:t xml:space="preserve">ntrinsic </w:t>
      </w:r>
      <w:r w:rsidR="00A05991" w:rsidRPr="007C0ACA">
        <w:t>D</w:t>
      </w:r>
      <w:r w:rsidR="00376D0F" w:rsidRPr="007C0ACA">
        <w:t xml:space="preserve">ynamics of </w:t>
      </w:r>
      <w:r w:rsidR="00A05991" w:rsidRPr="007C0ACA">
        <w:t>E</w:t>
      </w:r>
      <w:r w:rsidR="00376D0F" w:rsidRPr="007C0ACA">
        <w:t xml:space="preserve">nzymes </w:t>
      </w:r>
      <w:r w:rsidR="00A05991" w:rsidRPr="007C0ACA">
        <w:t>P</w:t>
      </w:r>
      <w:r w:rsidR="00376D0F" w:rsidRPr="007C0ACA">
        <w:t xml:space="preserve">lays a </w:t>
      </w:r>
      <w:r w:rsidR="00A05991" w:rsidRPr="007C0ACA">
        <w:t>D</w:t>
      </w:r>
      <w:r w:rsidR="00376D0F" w:rsidRPr="007C0ACA">
        <w:t xml:space="preserve">ominant </w:t>
      </w:r>
      <w:r w:rsidR="00A05991" w:rsidRPr="007C0ACA">
        <w:t>R</w:t>
      </w:r>
      <w:r w:rsidR="00376D0F" w:rsidRPr="007C0ACA">
        <w:t xml:space="preserve">ole in </w:t>
      </w:r>
      <w:r w:rsidR="00A05991" w:rsidRPr="007C0ACA">
        <w:t>D</w:t>
      </w:r>
      <w:r w:rsidR="00376D0F" w:rsidRPr="007C0ACA">
        <w:t xml:space="preserve">etermining the </w:t>
      </w:r>
      <w:r w:rsidR="00A05991" w:rsidRPr="007C0ACA">
        <w:t>S</w:t>
      </w:r>
      <w:r w:rsidR="00376D0F" w:rsidRPr="007C0ACA">
        <w:t xml:space="preserve">tructural </w:t>
      </w:r>
      <w:r w:rsidR="00A05991" w:rsidRPr="007C0ACA">
        <w:t>C</w:t>
      </w:r>
      <w:r w:rsidR="00376D0F" w:rsidRPr="007C0ACA">
        <w:t xml:space="preserve">hanges </w:t>
      </w:r>
      <w:r w:rsidR="00A05991" w:rsidRPr="007C0ACA">
        <w:t>I</w:t>
      </w:r>
      <w:r w:rsidR="00376D0F" w:rsidRPr="007C0ACA">
        <w:t xml:space="preserve">nduced upon </w:t>
      </w:r>
      <w:r w:rsidR="00A05991" w:rsidRPr="007C0ACA">
        <w:t>I</w:t>
      </w:r>
      <w:r w:rsidR="00376D0F" w:rsidRPr="007C0ACA">
        <w:t xml:space="preserve">nhibitor </w:t>
      </w:r>
      <w:r w:rsidR="00A05991" w:rsidRPr="007C0ACA">
        <w:t>B</w:t>
      </w:r>
      <w:r w:rsidR="00376D0F" w:rsidRPr="007C0ACA">
        <w:t xml:space="preserve">inding, </w:t>
      </w:r>
      <w:r w:rsidR="00376D0F" w:rsidRPr="007C0ACA">
        <w:rPr>
          <w:i/>
        </w:rPr>
        <w:t>Proc. Natl. Acad. Sci. U</w:t>
      </w:r>
      <w:r w:rsidR="00D461A5" w:rsidRPr="007C0ACA">
        <w:rPr>
          <w:i/>
        </w:rPr>
        <w:t xml:space="preserve">. </w:t>
      </w:r>
      <w:r w:rsidR="00376D0F" w:rsidRPr="007C0ACA">
        <w:rPr>
          <w:i/>
        </w:rPr>
        <w:t>S</w:t>
      </w:r>
      <w:r w:rsidR="00D461A5" w:rsidRPr="007C0ACA">
        <w:rPr>
          <w:i/>
        </w:rPr>
        <w:t xml:space="preserve">. </w:t>
      </w:r>
      <w:r w:rsidR="00376D0F" w:rsidRPr="007C0ACA">
        <w:rPr>
          <w:i/>
        </w:rPr>
        <w:t>A</w:t>
      </w:r>
      <w:r w:rsidR="00D461A5" w:rsidRPr="007C0ACA">
        <w:rPr>
          <w:i/>
        </w:rPr>
        <w:t>.</w:t>
      </w:r>
      <w:r w:rsidR="00376D0F" w:rsidRPr="007C0ACA">
        <w:rPr>
          <w:i/>
        </w:rPr>
        <w:t>,</w:t>
      </w:r>
      <w:r w:rsidR="00376D0F" w:rsidRPr="007C0ACA">
        <w:t xml:space="preserve"> </w:t>
      </w:r>
      <w:r w:rsidR="00376D0F" w:rsidRPr="007C0ACA">
        <w:rPr>
          <w:b/>
        </w:rPr>
        <w:t>2009</w:t>
      </w:r>
      <w:r w:rsidR="00376D0F" w:rsidRPr="007C0ACA">
        <w:t xml:space="preserve">, </w:t>
      </w:r>
      <w:r w:rsidR="00376D0F" w:rsidRPr="007C0ACA">
        <w:rPr>
          <w:i/>
        </w:rPr>
        <w:t>106</w:t>
      </w:r>
      <w:r w:rsidR="00376D0F" w:rsidRPr="007C0ACA">
        <w:t>, 14349-14354</w:t>
      </w:r>
      <w:r w:rsidR="00376D0F" w:rsidRPr="007C0ACA">
        <w:rPr>
          <w:rFonts w:ascii="Calibri" w:hAnsi="Calibri" w:cs="Calibri"/>
          <w:noProof/>
          <w:szCs w:val="24"/>
        </w:rPr>
        <w:t xml:space="preserve">. </w:t>
      </w:r>
    </w:p>
    <w:p w14:paraId="5D3C690C" w14:textId="6BAD9E62"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(47) </w:t>
      </w:r>
      <w:r w:rsidR="00F306B9" w:rsidRPr="007C0ACA">
        <w:rPr>
          <w:rFonts w:ascii="Calibri" w:hAnsi="Calibri" w:cs="Calibri"/>
          <w:noProof/>
          <w:szCs w:val="24"/>
        </w:rPr>
        <w:t xml:space="preserve">Kollman, </w:t>
      </w:r>
      <w:r w:rsidR="00376D0F" w:rsidRPr="007C0ACA">
        <w:t>P. A.</w:t>
      </w:r>
      <w:r w:rsidR="00F306B9" w:rsidRPr="007C0ACA">
        <w:t>; Massova,</w:t>
      </w:r>
      <w:r w:rsidR="00376D0F" w:rsidRPr="007C0ACA">
        <w:t xml:space="preserve"> I.</w:t>
      </w:r>
      <w:r w:rsidR="00F306B9" w:rsidRPr="007C0ACA">
        <w:t>; Reyes,</w:t>
      </w:r>
      <w:r w:rsidR="00376D0F" w:rsidRPr="007C0ACA">
        <w:t xml:space="preserve"> C.</w:t>
      </w:r>
      <w:r w:rsidR="00F306B9" w:rsidRPr="007C0ACA">
        <w:t>; Kuhn,</w:t>
      </w:r>
      <w:r w:rsidR="00376D0F" w:rsidRPr="007C0ACA">
        <w:t xml:space="preserve"> B.</w:t>
      </w:r>
      <w:r w:rsidR="00F306B9" w:rsidRPr="007C0ACA">
        <w:t>; Huo,</w:t>
      </w:r>
      <w:r w:rsidR="00376D0F" w:rsidRPr="007C0ACA">
        <w:t xml:space="preserve"> S.</w:t>
      </w:r>
      <w:r w:rsidR="00F306B9" w:rsidRPr="007C0ACA">
        <w:t>; Chong,</w:t>
      </w:r>
      <w:r w:rsidR="00376D0F" w:rsidRPr="007C0ACA">
        <w:t xml:space="preserve"> L.</w:t>
      </w:r>
      <w:r w:rsidR="00F306B9" w:rsidRPr="007C0ACA">
        <w:t>; Lee,</w:t>
      </w:r>
      <w:r w:rsidR="00376D0F" w:rsidRPr="007C0ACA">
        <w:t xml:space="preserve"> M.</w:t>
      </w:r>
      <w:r w:rsidR="00F306B9" w:rsidRPr="007C0ACA">
        <w:t>; Lee,</w:t>
      </w:r>
      <w:r w:rsidR="00376D0F" w:rsidRPr="007C0ACA">
        <w:t xml:space="preserve"> T.</w:t>
      </w:r>
      <w:r w:rsidR="00F306B9" w:rsidRPr="007C0ACA">
        <w:t xml:space="preserve">; Duan, </w:t>
      </w:r>
      <w:r w:rsidR="00376D0F" w:rsidRPr="007C0ACA">
        <w:t>Y.</w:t>
      </w:r>
      <w:r w:rsidR="00F306B9" w:rsidRPr="007C0ACA">
        <w:t>; Wang,</w:t>
      </w:r>
      <w:r w:rsidR="00376D0F" w:rsidRPr="007C0ACA">
        <w:t xml:space="preserve"> W.</w:t>
      </w:r>
      <w:r w:rsidR="00F306B9" w:rsidRPr="007C0ACA">
        <w:t>; Donini,</w:t>
      </w:r>
      <w:r w:rsidR="00376D0F" w:rsidRPr="007C0ACA">
        <w:t xml:space="preserve"> O.</w:t>
      </w:r>
      <w:r w:rsidR="00F306B9" w:rsidRPr="007C0ACA">
        <w:t>; Cieplak,</w:t>
      </w:r>
      <w:r w:rsidR="00376D0F" w:rsidRPr="007C0ACA">
        <w:t xml:space="preserve"> P.</w:t>
      </w:r>
      <w:r w:rsidR="00F306B9" w:rsidRPr="007C0ACA">
        <w:t>; Srinivasan,</w:t>
      </w:r>
      <w:r w:rsidR="00376D0F" w:rsidRPr="007C0ACA">
        <w:t xml:space="preserve"> J.</w:t>
      </w:r>
      <w:r w:rsidR="00F306B9" w:rsidRPr="007C0ACA">
        <w:t>; Case,</w:t>
      </w:r>
      <w:r w:rsidR="00376D0F" w:rsidRPr="007C0ACA">
        <w:t xml:space="preserve"> D. A.</w:t>
      </w:r>
      <w:r w:rsidR="00F306B9" w:rsidRPr="007C0ACA">
        <w:t>; Cheatham,</w:t>
      </w:r>
      <w:r w:rsidR="00376D0F" w:rsidRPr="007C0ACA">
        <w:t xml:space="preserve"> T. E. Calculating </w:t>
      </w:r>
      <w:r w:rsidR="00A05991" w:rsidRPr="007C0ACA">
        <w:t>S</w:t>
      </w:r>
      <w:r w:rsidR="00376D0F" w:rsidRPr="007C0ACA">
        <w:t xml:space="preserve">tructures and </w:t>
      </w:r>
      <w:r w:rsidR="00A05991" w:rsidRPr="007C0ACA">
        <w:t>F</w:t>
      </w:r>
      <w:r w:rsidR="00376D0F" w:rsidRPr="007C0ACA">
        <w:t xml:space="preserve">ree </w:t>
      </w:r>
      <w:r w:rsidR="00A05991" w:rsidRPr="007C0ACA">
        <w:t>E</w:t>
      </w:r>
      <w:r w:rsidR="00376D0F" w:rsidRPr="007C0ACA">
        <w:t xml:space="preserve">nergies of </w:t>
      </w:r>
      <w:r w:rsidR="00A05991" w:rsidRPr="007C0ACA">
        <w:t>C</w:t>
      </w:r>
      <w:r w:rsidR="00376D0F" w:rsidRPr="007C0ACA">
        <w:t xml:space="preserve">omplex </w:t>
      </w:r>
      <w:r w:rsidR="00A05991" w:rsidRPr="007C0ACA">
        <w:t>M</w:t>
      </w:r>
      <w:r w:rsidR="00376D0F" w:rsidRPr="007C0ACA">
        <w:t xml:space="preserve">olecules: Combining </w:t>
      </w:r>
      <w:r w:rsidR="00A05991" w:rsidRPr="007C0ACA">
        <w:t>M</w:t>
      </w:r>
      <w:r w:rsidR="00376D0F" w:rsidRPr="007C0ACA">
        <w:t xml:space="preserve">olecular </w:t>
      </w:r>
      <w:r w:rsidR="00A05991" w:rsidRPr="007C0ACA">
        <w:t>M</w:t>
      </w:r>
      <w:r w:rsidR="00376D0F" w:rsidRPr="007C0ACA">
        <w:t xml:space="preserve">echanics and </w:t>
      </w:r>
      <w:r w:rsidR="00A05991" w:rsidRPr="007C0ACA">
        <w:t>C</w:t>
      </w:r>
      <w:r w:rsidR="00376D0F" w:rsidRPr="007C0ACA">
        <w:t xml:space="preserve">ontinuum </w:t>
      </w:r>
      <w:r w:rsidR="00A05991" w:rsidRPr="007C0ACA">
        <w:t>M</w:t>
      </w:r>
      <w:r w:rsidR="00376D0F" w:rsidRPr="007C0ACA">
        <w:t xml:space="preserve">odels, </w:t>
      </w:r>
      <w:r w:rsidR="00376D0F" w:rsidRPr="007C0ACA">
        <w:rPr>
          <w:i/>
        </w:rPr>
        <w:t>Acc. Chem. Res.</w:t>
      </w:r>
      <w:r w:rsidR="00376D0F" w:rsidRPr="007C0ACA">
        <w:t xml:space="preserve">, </w:t>
      </w:r>
      <w:r w:rsidR="00376D0F" w:rsidRPr="007C0ACA">
        <w:rPr>
          <w:b/>
        </w:rPr>
        <w:t>2000</w:t>
      </w:r>
      <w:r w:rsidR="00376D0F" w:rsidRPr="007C0ACA">
        <w:t xml:space="preserve">, </w:t>
      </w:r>
      <w:r w:rsidR="00376D0F" w:rsidRPr="007C0ACA">
        <w:rPr>
          <w:i/>
        </w:rPr>
        <w:t>33</w:t>
      </w:r>
      <w:r w:rsidR="00376D0F" w:rsidRPr="007C0ACA">
        <w:t>, 889-897</w:t>
      </w:r>
      <w:r w:rsidR="00376D0F" w:rsidRPr="007C0ACA">
        <w:rPr>
          <w:rFonts w:ascii="Calibri" w:hAnsi="Calibri" w:cs="Calibri"/>
          <w:noProof/>
          <w:szCs w:val="24"/>
        </w:rPr>
        <w:t xml:space="preserve">. </w:t>
      </w:r>
    </w:p>
    <w:p w14:paraId="7196DFE0" w14:textId="4802C6D8"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(48) </w:t>
      </w:r>
      <w:r w:rsidR="00F306B9" w:rsidRPr="007C0ACA">
        <w:rPr>
          <w:rFonts w:ascii="Calibri" w:hAnsi="Calibri" w:cs="Calibri"/>
          <w:noProof/>
          <w:szCs w:val="24"/>
        </w:rPr>
        <w:t xml:space="preserve">Luo, </w:t>
      </w:r>
      <w:r w:rsidR="00376D0F" w:rsidRPr="007C0ACA">
        <w:t>R.</w:t>
      </w:r>
      <w:r w:rsidR="00F306B9" w:rsidRPr="007C0ACA">
        <w:t xml:space="preserve">; David, </w:t>
      </w:r>
      <w:r w:rsidR="00376D0F" w:rsidRPr="007C0ACA">
        <w:t xml:space="preserve"> L.</w:t>
      </w:r>
      <w:r w:rsidR="00F306B9" w:rsidRPr="007C0ACA">
        <w:t>; Gilson,</w:t>
      </w:r>
      <w:r w:rsidR="00376D0F" w:rsidRPr="007C0ACA">
        <w:t xml:space="preserve"> M. K</w:t>
      </w:r>
      <w:r w:rsidR="00F306B9" w:rsidRPr="007C0ACA">
        <w:t>.</w:t>
      </w:r>
      <w:r w:rsidR="00376D0F" w:rsidRPr="007C0ACA">
        <w:t xml:space="preserve"> Accelerated Poisson-Boltzmann </w:t>
      </w:r>
      <w:r w:rsidR="00A05991" w:rsidRPr="007C0ACA">
        <w:t>C</w:t>
      </w:r>
      <w:r w:rsidR="00376D0F" w:rsidRPr="007C0ACA">
        <w:t xml:space="preserve">alculations for </w:t>
      </w:r>
      <w:r w:rsidR="00A05991" w:rsidRPr="007C0ACA">
        <w:t>S</w:t>
      </w:r>
      <w:r w:rsidR="00376D0F" w:rsidRPr="007C0ACA">
        <w:t xml:space="preserve">tatic and </w:t>
      </w:r>
      <w:r w:rsidR="00A05991" w:rsidRPr="007C0ACA">
        <w:t>D</w:t>
      </w:r>
      <w:r w:rsidR="00376D0F" w:rsidRPr="007C0ACA">
        <w:t xml:space="preserve">ynamic </w:t>
      </w:r>
      <w:r w:rsidR="00A05991" w:rsidRPr="007C0ACA">
        <w:t>S</w:t>
      </w:r>
      <w:r w:rsidR="00376D0F" w:rsidRPr="007C0ACA">
        <w:t xml:space="preserve">ystems, </w:t>
      </w:r>
      <w:r w:rsidR="00376D0F" w:rsidRPr="007C0ACA">
        <w:rPr>
          <w:i/>
        </w:rPr>
        <w:t xml:space="preserve">J. Comput. Chem., </w:t>
      </w:r>
      <w:r w:rsidR="00376D0F" w:rsidRPr="007C0ACA">
        <w:rPr>
          <w:b/>
        </w:rPr>
        <w:t>2002</w:t>
      </w:r>
      <w:r w:rsidR="00376D0F" w:rsidRPr="007C0ACA">
        <w:t xml:space="preserve">, </w:t>
      </w:r>
      <w:r w:rsidR="00376D0F" w:rsidRPr="007C0ACA">
        <w:rPr>
          <w:i/>
        </w:rPr>
        <w:t>23</w:t>
      </w:r>
      <w:r w:rsidR="00376D0F" w:rsidRPr="007C0ACA">
        <w:t>, 1244-1253</w:t>
      </w:r>
      <w:r w:rsidR="00376D0F" w:rsidRPr="007C0ACA">
        <w:rPr>
          <w:rFonts w:ascii="Calibri" w:hAnsi="Calibri" w:cs="Calibri"/>
          <w:noProof/>
          <w:szCs w:val="24"/>
        </w:rPr>
        <w:t xml:space="preserve">. </w:t>
      </w:r>
    </w:p>
    <w:p w14:paraId="44179181" w14:textId="76C31EBC"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(49) </w:t>
      </w:r>
      <w:r w:rsidR="00F306B9" w:rsidRPr="007C0ACA">
        <w:rPr>
          <w:rFonts w:ascii="Calibri" w:hAnsi="Calibri" w:cs="Calibri"/>
          <w:noProof/>
          <w:szCs w:val="24"/>
        </w:rPr>
        <w:t xml:space="preserve">Tsui, </w:t>
      </w:r>
      <w:r w:rsidR="00376D0F" w:rsidRPr="007C0ACA">
        <w:t>V.</w:t>
      </w:r>
      <w:r w:rsidR="00F306B9" w:rsidRPr="007C0ACA">
        <w:t xml:space="preserve">; Case, </w:t>
      </w:r>
      <w:r w:rsidR="00376D0F" w:rsidRPr="007C0ACA">
        <w:t xml:space="preserve">D. A. Theory and </w:t>
      </w:r>
      <w:r w:rsidR="00A05991" w:rsidRPr="007C0ACA">
        <w:t>A</w:t>
      </w:r>
      <w:r w:rsidR="00376D0F" w:rsidRPr="007C0ACA">
        <w:t xml:space="preserve">pplications of the </w:t>
      </w:r>
      <w:r w:rsidR="00A05991" w:rsidRPr="007C0ACA">
        <w:t>G</w:t>
      </w:r>
      <w:r w:rsidR="00376D0F" w:rsidRPr="007C0ACA">
        <w:t xml:space="preserve">eneralized </w:t>
      </w:r>
      <w:r w:rsidR="00A05991" w:rsidRPr="007C0ACA">
        <w:t>B</w:t>
      </w:r>
      <w:r w:rsidR="00376D0F" w:rsidRPr="007C0ACA">
        <w:t xml:space="preserve">orn </w:t>
      </w:r>
      <w:r w:rsidR="00A05991" w:rsidRPr="007C0ACA">
        <w:t>S</w:t>
      </w:r>
      <w:r w:rsidR="00376D0F" w:rsidRPr="007C0ACA">
        <w:t xml:space="preserve">olvation </w:t>
      </w:r>
      <w:r w:rsidR="00A05991" w:rsidRPr="007C0ACA">
        <w:t>M</w:t>
      </w:r>
      <w:r w:rsidR="00376D0F" w:rsidRPr="007C0ACA">
        <w:t xml:space="preserve">odel in </w:t>
      </w:r>
      <w:r w:rsidR="00A05991" w:rsidRPr="007C0ACA">
        <w:t>M</w:t>
      </w:r>
      <w:r w:rsidR="00376D0F" w:rsidRPr="007C0ACA">
        <w:t xml:space="preserve">acromolecular </w:t>
      </w:r>
      <w:r w:rsidR="00A05991" w:rsidRPr="007C0ACA">
        <w:t>S</w:t>
      </w:r>
      <w:r w:rsidR="00376D0F" w:rsidRPr="007C0ACA">
        <w:t xml:space="preserve">imulations, </w:t>
      </w:r>
      <w:r w:rsidR="00376D0F" w:rsidRPr="007C0ACA">
        <w:rPr>
          <w:i/>
        </w:rPr>
        <w:t>Biopolymers,</w:t>
      </w:r>
      <w:r w:rsidR="00376D0F" w:rsidRPr="007C0ACA">
        <w:t xml:space="preserve"> </w:t>
      </w:r>
      <w:r w:rsidR="00376D0F" w:rsidRPr="007C0ACA">
        <w:rPr>
          <w:b/>
        </w:rPr>
        <w:t>2000</w:t>
      </w:r>
      <w:r w:rsidR="00376D0F" w:rsidRPr="007C0ACA">
        <w:t xml:space="preserve">, </w:t>
      </w:r>
      <w:r w:rsidR="00376D0F" w:rsidRPr="007C0ACA">
        <w:rPr>
          <w:i/>
        </w:rPr>
        <w:t>56</w:t>
      </w:r>
      <w:r w:rsidR="00376D0F" w:rsidRPr="007C0ACA">
        <w:t>, 275-291</w:t>
      </w:r>
      <w:r w:rsidR="00376D0F" w:rsidRPr="007C0ACA">
        <w:rPr>
          <w:rFonts w:ascii="Calibri" w:hAnsi="Calibri" w:cs="Calibri"/>
          <w:noProof/>
          <w:szCs w:val="24"/>
        </w:rPr>
        <w:t xml:space="preserve">. </w:t>
      </w:r>
    </w:p>
    <w:p w14:paraId="5735E8E3" w14:textId="786D195B"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(50) </w:t>
      </w:r>
      <w:r w:rsidR="00F306B9" w:rsidRPr="007C0ACA">
        <w:rPr>
          <w:rFonts w:ascii="Calibri" w:hAnsi="Calibri" w:cs="Calibri"/>
          <w:noProof/>
          <w:szCs w:val="24"/>
        </w:rPr>
        <w:t xml:space="preserve">Onufriev, </w:t>
      </w:r>
      <w:r w:rsidR="00376D0F" w:rsidRPr="007C0ACA">
        <w:t>A.</w:t>
      </w:r>
      <w:r w:rsidR="00F306B9" w:rsidRPr="007C0ACA">
        <w:t xml:space="preserve">; Bashford, </w:t>
      </w:r>
      <w:r w:rsidR="00376D0F" w:rsidRPr="007C0ACA">
        <w:t>D.</w:t>
      </w:r>
      <w:r w:rsidR="00F306B9" w:rsidRPr="007C0ACA">
        <w:t>; Case,</w:t>
      </w:r>
      <w:r w:rsidR="00376D0F" w:rsidRPr="007C0ACA">
        <w:t xml:space="preserve"> D.</w:t>
      </w:r>
      <w:r w:rsidR="00F306B9" w:rsidRPr="007C0ACA">
        <w:t xml:space="preserve"> </w:t>
      </w:r>
      <w:r w:rsidR="00376D0F" w:rsidRPr="007C0ACA">
        <w:t xml:space="preserve">A. Exploring </w:t>
      </w:r>
      <w:r w:rsidR="00A05991" w:rsidRPr="007C0ACA">
        <w:t>P</w:t>
      </w:r>
      <w:r w:rsidR="00376D0F" w:rsidRPr="007C0ACA">
        <w:t xml:space="preserve">rotein </w:t>
      </w:r>
      <w:r w:rsidR="00A05991" w:rsidRPr="007C0ACA">
        <w:t>N</w:t>
      </w:r>
      <w:r w:rsidR="00376D0F" w:rsidRPr="007C0ACA">
        <w:t xml:space="preserve">ative </w:t>
      </w:r>
      <w:r w:rsidR="00A05991" w:rsidRPr="007C0ACA">
        <w:t>S</w:t>
      </w:r>
      <w:r w:rsidR="00376D0F" w:rsidRPr="007C0ACA">
        <w:t xml:space="preserve">tates and </w:t>
      </w:r>
      <w:r w:rsidR="00A05991" w:rsidRPr="007C0ACA">
        <w:t>L</w:t>
      </w:r>
      <w:r w:rsidR="00376D0F" w:rsidRPr="007C0ACA">
        <w:t>arge-</w:t>
      </w:r>
      <w:r w:rsidR="00A05991" w:rsidRPr="007C0ACA">
        <w:t>S</w:t>
      </w:r>
      <w:r w:rsidR="00376D0F" w:rsidRPr="007C0ACA">
        <w:t xml:space="preserve">cale </w:t>
      </w:r>
      <w:r w:rsidR="00A05991" w:rsidRPr="007C0ACA">
        <w:t>C</w:t>
      </w:r>
      <w:r w:rsidR="00376D0F" w:rsidRPr="007C0ACA">
        <w:t xml:space="preserve">onformational </w:t>
      </w:r>
      <w:r w:rsidR="00A05991" w:rsidRPr="007C0ACA">
        <w:t>C</w:t>
      </w:r>
      <w:r w:rsidR="00376D0F" w:rsidRPr="007C0ACA">
        <w:t xml:space="preserve">hanges with a </w:t>
      </w:r>
      <w:r w:rsidR="00A05991" w:rsidRPr="007C0ACA">
        <w:t>M</w:t>
      </w:r>
      <w:r w:rsidR="00376D0F" w:rsidRPr="007C0ACA">
        <w:t xml:space="preserve">odified </w:t>
      </w:r>
      <w:r w:rsidR="00A05991" w:rsidRPr="007C0ACA">
        <w:t>G</w:t>
      </w:r>
      <w:r w:rsidR="00376D0F" w:rsidRPr="007C0ACA">
        <w:t xml:space="preserve">eneralized </w:t>
      </w:r>
      <w:r w:rsidR="00A05991" w:rsidRPr="007C0ACA">
        <w:t>B</w:t>
      </w:r>
      <w:r w:rsidR="00376D0F" w:rsidRPr="007C0ACA">
        <w:t xml:space="preserve">orn </w:t>
      </w:r>
      <w:r w:rsidR="00A05991" w:rsidRPr="007C0ACA">
        <w:t>M</w:t>
      </w:r>
      <w:r w:rsidR="00376D0F" w:rsidRPr="007C0ACA">
        <w:t xml:space="preserve">odel, </w:t>
      </w:r>
      <w:r w:rsidR="00376D0F" w:rsidRPr="007C0ACA">
        <w:rPr>
          <w:i/>
        </w:rPr>
        <w:t>Proteins</w:t>
      </w:r>
      <w:r w:rsidR="00376D0F" w:rsidRPr="007C0ACA">
        <w:t xml:space="preserve">, </w:t>
      </w:r>
      <w:r w:rsidR="00376D0F" w:rsidRPr="007C0ACA">
        <w:rPr>
          <w:b/>
        </w:rPr>
        <w:t>2004</w:t>
      </w:r>
      <w:r w:rsidR="00376D0F" w:rsidRPr="007C0ACA">
        <w:t xml:space="preserve">, </w:t>
      </w:r>
      <w:r w:rsidR="00376D0F" w:rsidRPr="007C0ACA">
        <w:rPr>
          <w:i/>
        </w:rPr>
        <w:t>55</w:t>
      </w:r>
      <w:r w:rsidR="00376D0F" w:rsidRPr="007C0ACA">
        <w:t>, 383-394</w:t>
      </w:r>
      <w:r w:rsidR="00376D0F" w:rsidRPr="007C0ACA">
        <w:rPr>
          <w:rFonts w:ascii="Calibri" w:hAnsi="Calibri" w:cs="Calibri"/>
          <w:noProof/>
          <w:szCs w:val="24"/>
        </w:rPr>
        <w:t xml:space="preserve">. </w:t>
      </w:r>
    </w:p>
    <w:p w14:paraId="4A34434D" w14:textId="28D01BC1"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(51) </w:t>
      </w:r>
      <w:r w:rsidR="00F306B9" w:rsidRPr="007C0ACA">
        <w:rPr>
          <w:rFonts w:ascii="Calibri" w:hAnsi="Calibri" w:cs="Calibri"/>
          <w:noProof/>
          <w:szCs w:val="24"/>
        </w:rPr>
        <w:t xml:space="preserve">Weiser, </w:t>
      </w:r>
      <w:r w:rsidR="00376D0F" w:rsidRPr="007C0ACA">
        <w:t>J.</w:t>
      </w:r>
      <w:r w:rsidR="00F306B9" w:rsidRPr="007C0ACA">
        <w:t>; Shenkin,</w:t>
      </w:r>
      <w:r w:rsidR="00376D0F" w:rsidRPr="007C0ACA">
        <w:t xml:space="preserve"> P. S.</w:t>
      </w:r>
      <w:r w:rsidR="00F306B9" w:rsidRPr="007C0ACA">
        <w:t>; Still,</w:t>
      </w:r>
      <w:r w:rsidR="00376D0F" w:rsidRPr="007C0ACA">
        <w:t xml:space="preserve"> W. C</w:t>
      </w:r>
      <w:r w:rsidR="00F306B9" w:rsidRPr="007C0ACA">
        <w:t>.</w:t>
      </w:r>
      <w:r w:rsidR="00376D0F" w:rsidRPr="007C0ACA">
        <w:t xml:space="preserve"> Approximate </w:t>
      </w:r>
      <w:r w:rsidR="00A05991" w:rsidRPr="007C0ACA">
        <w:t>S</w:t>
      </w:r>
      <w:r w:rsidR="00376D0F" w:rsidRPr="007C0ACA">
        <w:t>olvent-</w:t>
      </w:r>
      <w:r w:rsidR="00A05991" w:rsidRPr="007C0ACA">
        <w:t>A</w:t>
      </w:r>
      <w:r w:rsidR="00376D0F" w:rsidRPr="007C0ACA">
        <w:t xml:space="preserve">ccessible </w:t>
      </w:r>
      <w:r w:rsidR="00A05991" w:rsidRPr="007C0ACA">
        <w:t>S</w:t>
      </w:r>
      <w:r w:rsidR="00376D0F" w:rsidRPr="007C0ACA">
        <w:t xml:space="preserve">urface </w:t>
      </w:r>
      <w:r w:rsidR="00A05991" w:rsidRPr="007C0ACA">
        <w:t>A</w:t>
      </w:r>
      <w:r w:rsidR="00376D0F" w:rsidRPr="007C0ACA">
        <w:t xml:space="preserve">reas from </w:t>
      </w:r>
      <w:r w:rsidR="00A05991" w:rsidRPr="007C0ACA">
        <w:t>T</w:t>
      </w:r>
      <w:r w:rsidR="00376D0F" w:rsidRPr="007C0ACA">
        <w:t xml:space="preserve">etrahedrally </w:t>
      </w:r>
      <w:r w:rsidR="00A05991" w:rsidRPr="007C0ACA">
        <w:t>D</w:t>
      </w:r>
      <w:r w:rsidR="00376D0F" w:rsidRPr="007C0ACA">
        <w:t xml:space="preserve">irected </w:t>
      </w:r>
      <w:r w:rsidR="00A05991" w:rsidRPr="007C0ACA">
        <w:t>N</w:t>
      </w:r>
      <w:r w:rsidR="00376D0F" w:rsidRPr="007C0ACA">
        <w:t xml:space="preserve">eighbour </w:t>
      </w:r>
      <w:r w:rsidR="00A05991" w:rsidRPr="007C0ACA">
        <w:t>D</w:t>
      </w:r>
      <w:r w:rsidR="00376D0F" w:rsidRPr="007C0ACA">
        <w:t xml:space="preserve">ensities, </w:t>
      </w:r>
      <w:r w:rsidR="00376D0F" w:rsidRPr="007C0ACA">
        <w:rPr>
          <w:i/>
        </w:rPr>
        <w:t>Biopolymers</w:t>
      </w:r>
      <w:r w:rsidR="00376D0F" w:rsidRPr="007C0ACA">
        <w:t xml:space="preserve">, </w:t>
      </w:r>
      <w:r w:rsidR="00376D0F" w:rsidRPr="007C0ACA">
        <w:rPr>
          <w:b/>
        </w:rPr>
        <w:t>1999</w:t>
      </w:r>
      <w:r w:rsidR="00376D0F" w:rsidRPr="007C0ACA">
        <w:t xml:space="preserve">, </w:t>
      </w:r>
      <w:r w:rsidR="00376D0F" w:rsidRPr="007C0ACA">
        <w:rPr>
          <w:i/>
        </w:rPr>
        <w:t>50</w:t>
      </w:r>
      <w:r w:rsidR="00376D0F" w:rsidRPr="007C0ACA">
        <w:t>, 373-380</w:t>
      </w:r>
      <w:r w:rsidR="00376D0F" w:rsidRPr="007C0ACA">
        <w:rPr>
          <w:rFonts w:ascii="Calibri" w:hAnsi="Calibri" w:cs="Calibri"/>
          <w:noProof/>
          <w:szCs w:val="24"/>
        </w:rPr>
        <w:t xml:space="preserve">. </w:t>
      </w:r>
    </w:p>
    <w:p w14:paraId="5206BDF5" w14:textId="5E467355"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(52) </w:t>
      </w:r>
      <w:r w:rsidR="00F306B9" w:rsidRPr="007C0ACA">
        <w:rPr>
          <w:rFonts w:ascii="Calibri" w:hAnsi="Calibri" w:cs="Calibri"/>
          <w:noProof/>
          <w:szCs w:val="24"/>
        </w:rPr>
        <w:t xml:space="preserve">Kuhn, </w:t>
      </w:r>
      <w:r w:rsidR="00376D0F" w:rsidRPr="007C0ACA">
        <w:t>B.</w:t>
      </w:r>
      <w:r w:rsidR="00F306B9" w:rsidRPr="007C0ACA">
        <w:t xml:space="preserve">; Gerber, </w:t>
      </w:r>
      <w:r w:rsidR="00376D0F" w:rsidRPr="007C0ACA">
        <w:t>P.</w:t>
      </w:r>
      <w:r w:rsidR="00F306B9" w:rsidRPr="007C0ACA">
        <w:t>; Shulz-Gasch,</w:t>
      </w:r>
      <w:r w:rsidR="00376D0F" w:rsidRPr="007C0ACA">
        <w:t xml:space="preserve"> T.</w:t>
      </w:r>
      <w:r w:rsidR="00F306B9" w:rsidRPr="007C0ACA">
        <w:t>; Stahl,</w:t>
      </w:r>
      <w:r w:rsidR="00376D0F" w:rsidRPr="007C0ACA">
        <w:t xml:space="preserve"> M. Validation and </w:t>
      </w:r>
      <w:r w:rsidR="00A05991" w:rsidRPr="007C0ACA">
        <w:t>U</w:t>
      </w:r>
      <w:r w:rsidR="00376D0F" w:rsidRPr="007C0ACA">
        <w:t xml:space="preserve">se of the MM-PBSA </w:t>
      </w:r>
      <w:r w:rsidR="00A05991" w:rsidRPr="007C0ACA">
        <w:t>A</w:t>
      </w:r>
      <w:r w:rsidR="00376D0F" w:rsidRPr="007C0ACA">
        <w:t xml:space="preserve">pproach for </w:t>
      </w:r>
      <w:r w:rsidR="00A05991" w:rsidRPr="007C0ACA">
        <w:t>D</w:t>
      </w:r>
      <w:r w:rsidR="00376D0F" w:rsidRPr="007C0ACA">
        <w:t xml:space="preserve">rug </w:t>
      </w:r>
      <w:r w:rsidR="00A05991" w:rsidRPr="007C0ACA">
        <w:t>D</w:t>
      </w:r>
      <w:r w:rsidR="00376D0F" w:rsidRPr="007C0ACA">
        <w:t xml:space="preserve">iscovery, </w:t>
      </w:r>
      <w:r w:rsidR="00376D0F" w:rsidRPr="007C0ACA">
        <w:rPr>
          <w:i/>
        </w:rPr>
        <w:t>J. Med. Chem</w:t>
      </w:r>
      <w:r w:rsidR="00376D0F" w:rsidRPr="007C0ACA">
        <w:t xml:space="preserve">., </w:t>
      </w:r>
      <w:r w:rsidR="00376D0F" w:rsidRPr="007C0ACA">
        <w:rPr>
          <w:b/>
        </w:rPr>
        <w:t>2005</w:t>
      </w:r>
      <w:r w:rsidR="00376D0F" w:rsidRPr="007C0ACA">
        <w:t xml:space="preserve">, </w:t>
      </w:r>
      <w:r w:rsidR="00376D0F" w:rsidRPr="007C0ACA">
        <w:rPr>
          <w:i/>
        </w:rPr>
        <w:t>48</w:t>
      </w:r>
      <w:r w:rsidR="00376D0F" w:rsidRPr="007C0ACA">
        <w:t>, 4040-4048</w:t>
      </w:r>
      <w:r w:rsidR="00376D0F" w:rsidRPr="007C0ACA">
        <w:rPr>
          <w:rFonts w:ascii="Calibri" w:hAnsi="Calibri" w:cs="Calibri"/>
          <w:noProof/>
          <w:szCs w:val="24"/>
        </w:rPr>
        <w:t xml:space="preserve">. </w:t>
      </w:r>
    </w:p>
    <w:p w14:paraId="67B249CD" w14:textId="0E9A0D83"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(53) </w:t>
      </w:r>
      <w:r w:rsidR="00F306B9" w:rsidRPr="007C0ACA">
        <w:rPr>
          <w:rFonts w:ascii="Calibri" w:hAnsi="Calibri" w:cs="Calibri"/>
          <w:noProof/>
          <w:szCs w:val="24"/>
        </w:rPr>
        <w:t xml:space="preserve">Gohlke, </w:t>
      </w:r>
      <w:r w:rsidR="00376D0F" w:rsidRPr="007C0ACA">
        <w:t>H.</w:t>
      </w:r>
      <w:r w:rsidR="00F306B9" w:rsidRPr="007C0ACA">
        <w:t>; Case,</w:t>
      </w:r>
      <w:r w:rsidR="00376D0F" w:rsidRPr="007C0ACA">
        <w:t xml:space="preserve"> D.</w:t>
      </w:r>
      <w:r w:rsidR="00F306B9" w:rsidRPr="007C0ACA">
        <w:t xml:space="preserve"> </w:t>
      </w:r>
      <w:r w:rsidR="00376D0F" w:rsidRPr="007C0ACA">
        <w:t xml:space="preserve">A. Converging </w:t>
      </w:r>
      <w:r w:rsidR="00A05991" w:rsidRPr="007C0ACA">
        <w:t>F</w:t>
      </w:r>
      <w:r w:rsidR="00376D0F" w:rsidRPr="007C0ACA">
        <w:t xml:space="preserve">ree </w:t>
      </w:r>
      <w:r w:rsidR="00A05991" w:rsidRPr="007C0ACA">
        <w:t>E</w:t>
      </w:r>
      <w:r w:rsidR="00376D0F" w:rsidRPr="007C0ACA">
        <w:t xml:space="preserve">nergy </w:t>
      </w:r>
      <w:r w:rsidR="00A05991" w:rsidRPr="007C0ACA">
        <w:t>E</w:t>
      </w:r>
      <w:r w:rsidR="00376D0F" w:rsidRPr="007C0ACA">
        <w:t xml:space="preserve">stimates: MMPB(GB)SA </w:t>
      </w:r>
      <w:r w:rsidR="00A05991" w:rsidRPr="007C0ACA">
        <w:t>S</w:t>
      </w:r>
      <w:r w:rsidR="00376D0F" w:rsidRPr="007C0ACA">
        <w:t xml:space="preserve">tudies on the </w:t>
      </w:r>
      <w:r w:rsidR="00A05991" w:rsidRPr="007C0ACA">
        <w:t>P</w:t>
      </w:r>
      <w:r w:rsidR="00376D0F" w:rsidRPr="007C0ACA">
        <w:t>rotein-</w:t>
      </w:r>
      <w:r w:rsidR="00A05991" w:rsidRPr="007C0ACA">
        <w:t>P</w:t>
      </w:r>
      <w:r w:rsidR="00376D0F" w:rsidRPr="007C0ACA">
        <w:t xml:space="preserve">rotein </w:t>
      </w:r>
      <w:r w:rsidR="00A05991" w:rsidRPr="007C0ACA">
        <w:t>C</w:t>
      </w:r>
      <w:r w:rsidR="00376D0F" w:rsidRPr="007C0ACA">
        <w:t>omplex Ras-Raf</w:t>
      </w:r>
      <w:r w:rsidR="00D461A5" w:rsidRPr="007C0ACA">
        <w:t>,</w:t>
      </w:r>
      <w:r w:rsidR="00376D0F" w:rsidRPr="007C0ACA">
        <w:t xml:space="preserve"> </w:t>
      </w:r>
      <w:r w:rsidR="00376D0F" w:rsidRPr="007C0ACA">
        <w:rPr>
          <w:i/>
        </w:rPr>
        <w:t>J. Comput. Chem</w:t>
      </w:r>
      <w:r w:rsidR="00376D0F" w:rsidRPr="007C0ACA">
        <w:t xml:space="preserve">., </w:t>
      </w:r>
      <w:r w:rsidR="00376D0F" w:rsidRPr="007C0ACA">
        <w:rPr>
          <w:b/>
        </w:rPr>
        <w:t>2004</w:t>
      </w:r>
      <w:r w:rsidR="00376D0F" w:rsidRPr="007C0ACA">
        <w:t xml:space="preserve">, </w:t>
      </w:r>
      <w:r w:rsidR="00376D0F" w:rsidRPr="007C0ACA">
        <w:rPr>
          <w:i/>
        </w:rPr>
        <w:t>25</w:t>
      </w:r>
      <w:r w:rsidR="00376D0F" w:rsidRPr="007C0ACA">
        <w:t>, 238-250</w:t>
      </w:r>
      <w:r w:rsidR="00376D0F" w:rsidRPr="007C0ACA">
        <w:rPr>
          <w:rFonts w:ascii="Calibri" w:hAnsi="Calibri" w:cs="Calibri"/>
          <w:noProof/>
          <w:szCs w:val="24"/>
        </w:rPr>
        <w:t xml:space="preserve">. </w:t>
      </w:r>
    </w:p>
    <w:p w14:paraId="3DC62998" w14:textId="5102AC74"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lastRenderedPageBreak/>
        <w:t xml:space="preserve">(54) </w:t>
      </w:r>
      <w:r w:rsidR="00F306B9" w:rsidRPr="007C0ACA">
        <w:rPr>
          <w:rFonts w:ascii="Calibri" w:hAnsi="Calibri" w:cs="Calibri"/>
          <w:noProof/>
          <w:szCs w:val="24"/>
        </w:rPr>
        <w:t xml:space="preserve">Miller, </w:t>
      </w:r>
      <w:r w:rsidR="00376D0F" w:rsidRPr="007C0ACA">
        <w:t>B.</w:t>
      </w:r>
      <w:r w:rsidR="00F306B9" w:rsidRPr="007C0ACA">
        <w:t xml:space="preserve"> </w:t>
      </w:r>
      <w:r w:rsidR="00376D0F" w:rsidRPr="007C0ACA">
        <w:t>R.</w:t>
      </w:r>
      <w:r w:rsidR="00F306B9" w:rsidRPr="007C0ACA">
        <w:t>; McGee,</w:t>
      </w:r>
      <w:r w:rsidR="00376D0F" w:rsidRPr="007C0ACA">
        <w:t xml:space="preserve"> T.</w:t>
      </w:r>
      <w:r w:rsidR="00F306B9" w:rsidRPr="007C0ACA">
        <w:t xml:space="preserve"> </w:t>
      </w:r>
      <w:r w:rsidR="00376D0F" w:rsidRPr="007C0ACA">
        <w:t>D.</w:t>
      </w:r>
      <w:r w:rsidR="00F306B9" w:rsidRPr="007C0ACA">
        <w:t xml:space="preserve">; Swails, </w:t>
      </w:r>
      <w:r w:rsidR="00376D0F" w:rsidRPr="007C0ACA">
        <w:t>J.</w:t>
      </w:r>
      <w:r w:rsidR="00F306B9" w:rsidRPr="007C0ACA">
        <w:t xml:space="preserve"> </w:t>
      </w:r>
      <w:r w:rsidR="00376D0F" w:rsidRPr="007C0ACA">
        <w:t>M.</w:t>
      </w:r>
      <w:r w:rsidR="00F306B9" w:rsidRPr="007C0ACA">
        <w:t>; Homeyer,</w:t>
      </w:r>
      <w:r w:rsidR="00376D0F" w:rsidRPr="007C0ACA">
        <w:t xml:space="preserve"> N.</w:t>
      </w:r>
      <w:r w:rsidR="00F306B9" w:rsidRPr="007C0ACA">
        <w:t>; Gohlke,</w:t>
      </w:r>
      <w:r w:rsidR="00376D0F" w:rsidRPr="007C0ACA">
        <w:t xml:space="preserve"> H.</w:t>
      </w:r>
      <w:r w:rsidR="00F306B9" w:rsidRPr="007C0ACA">
        <w:t>; Roitberg,</w:t>
      </w:r>
      <w:r w:rsidR="00376D0F" w:rsidRPr="007C0ACA">
        <w:t xml:space="preserve"> A.</w:t>
      </w:r>
      <w:r w:rsidR="00F306B9" w:rsidRPr="007C0ACA">
        <w:t xml:space="preserve"> </w:t>
      </w:r>
      <w:r w:rsidR="00376D0F" w:rsidRPr="007C0ACA">
        <w:t xml:space="preserve">E. MMPBSA.py: an </w:t>
      </w:r>
      <w:r w:rsidR="00A05991" w:rsidRPr="007C0ACA">
        <w:t>E</w:t>
      </w:r>
      <w:r w:rsidR="00376D0F" w:rsidRPr="007C0ACA">
        <w:t xml:space="preserve">fficient </w:t>
      </w:r>
      <w:r w:rsidR="00A05991" w:rsidRPr="007C0ACA">
        <w:t>P</w:t>
      </w:r>
      <w:r w:rsidR="00376D0F" w:rsidRPr="007C0ACA">
        <w:t xml:space="preserve">rogram for </w:t>
      </w:r>
      <w:r w:rsidR="00A05991" w:rsidRPr="007C0ACA">
        <w:t>E</w:t>
      </w:r>
      <w:r w:rsidR="00376D0F" w:rsidRPr="007C0ACA">
        <w:t>nd-</w:t>
      </w:r>
      <w:r w:rsidR="00A05991" w:rsidRPr="007C0ACA">
        <w:t>S</w:t>
      </w:r>
      <w:r w:rsidR="00376D0F" w:rsidRPr="007C0ACA">
        <w:t xml:space="preserve">tate </w:t>
      </w:r>
      <w:r w:rsidR="00A05991" w:rsidRPr="007C0ACA">
        <w:t>F</w:t>
      </w:r>
      <w:r w:rsidR="00376D0F" w:rsidRPr="007C0ACA">
        <w:t xml:space="preserve">ree </w:t>
      </w:r>
      <w:r w:rsidR="00A05991" w:rsidRPr="007C0ACA">
        <w:t>E</w:t>
      </w:r>
      <w:r w:rsidR="00376D0F" w:rsidRPr="007C0ACA">
        <w:t xml:space="preserve">nergy </w:t>
      </w:r>
      <w:r w:rsidR="00A05991" w:rsidRPr="007C0ACA">
        <w:t>C</w:t>
      </w:r>
      <w:r w:rsidR="00376D0F" w:rsidRPr="007C0ACA">
        <w:t>alculations</w:t>
      </w:r>
      <w:r w:rsidR="00D461A5" w:rsidRPr="007C0ACA">
        <w:t>,</w:t>
      </w:r>
      <w:r w:rsidR="00376D0F" w:rsidRPr="007C0ACA">
        <w:t xml:space="preserve"> </w:t>
      </w:r>
      <w:r w:rsidR="00376D0F" w:rsidRPr="007C0ACA">
        <w:rPr>
          <w:i/>
        </w:rPr>
        <w:t>J. Chem. Theory Comput</w:t>
      </w:r>
      <w:r w:rsidR="00376D0F" w:rsidRPr="007C0ACA">
        <w:t xml:space="preserve">., </w:t>
      </w:r>
      <w:r w:rsidR="00376D0F" w:rsidRPr="007C0ACA">
        <w:rPr>
          <w:b/>
        </w:rPr>
        <w:t>2012</w:t>
      </w:r>
      <w:r w:rsidR="00376D0F" w:rsidRPr="007C0ACA">
        <w:t xml:space="preserve">, </w:t>
      </w:r>
      <w:r w:rsidR="00376D0F" w:rsidRPr="007C0ACA">
        <w:rPr>
          <w:i/>
        </w:rPr>
        <w:t>8</w:t>
      </w:r>
      <w:r w:rsidR="00376D0F" w:rsidRPr="007C0ACA">
        <w:t>, 3314–3321</w:t>
      </w:r>
      <w:r w:rsidR="00376D0F" w:rsidRPr="007C0ACA">
        <w:rPr>
          <w:rFonts w:ascii="Calibri" w:hAnsi="Calibri" w:cs="Calibri"/>
          <w:noProof/>
          <w:szCs w:val="24"/>
        </w:rPr>
        <w:t xml:space="preserve">. </w:t>
      </w:r>
    </w:p>
    <w:p w14:paraId="76368A2D" w14:textId="3BCAC938"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(55)</w:t>
      </w:r>
      <w:r w:rsidR="00F306B9" w:rsidRPr="007C0ACA">
        <w:t xml:space="preserve"> Gohlke, H.; Kiel, </w:t>
      </w:r>
      <w:r w:rsidR="00376D0F" w:rsidRPr="007C0ACA">
        <w:t>C.</w:t>
      </w:r>
      <w:r w:rsidR="00F306B9" w:rsidRPr="007C0ACA">
        <w:t>; Case,</w:t>
      </w:r>
      <w:r w:rsidR="00376D0F" w:rsidRPr="007C0ACA">
        <w:t xml:space="preserve"> D. A. Insights into </w:t>
      </w:r>
      <w:r w:rsidR="00A05991" w:rsidRPr="007C0ACA">
        <w:t>P</w:t>
      </w:r>
      <w:r w:rsidR="00376D0F" w:rsidRPr="007C0ACA">
        <w:t>rotein-</w:t>
      </w:r>
      <w:r w:rsidR="00A05991" w:rsidRPr="007C0ACA">
        <w:t>P</w:t>
      </w:r>
      <w:r w:rsidR="00376D0F" w:rsidRPr="007C0ACA">
        <w:t xml:space="preserve">rotein </w:t>
      </w:r>
      <w:r w:rsidR="00A05991" w:rsidRPr="007C0ACA">
        <w:t>B</w:t>
      </w:r>
      <w:r w:rsidR="00376D0F" w:rsidRPr="007C0ACA">
        <w:t xml:space="preserve">inding by </w:t>
      </w:r>
      <w:r w:rsidR="00A05991" w:rsidRPr="007C0ACA">
        <w:t>B</w:t>
      </w:r>
      <w:r w:rsidR="00376D0F" w:rsidRPr="007C0ACA">
        <w:t xml:space="preserve">inding </w:t>
      </w:r>
      <w:r w:rsidR="00A05991" w:rsidRPr="007C0ACA">
        <w:t>F</w:t>
      </w:r>
      <w:r w:rsidR="00376D0F" w:rsidRPr="007C0ACA">
        <w:t xml:space="preserve">ree </w:t>
      </w:r>
      <w:r w:rsidR="00A05991" w:rsidRPr="007C0ACA">
        <w:t>E</w:t>
      </w:r>
      <w:r w:rsidR="00376D0F" w:rsidRPr="007C0ACA">
        <w:t xml:space="preserve">nergy </w:t>
      </w:r>
      <w:r w:rsidR="00A05991" w:rsidRPr="007C0ACA">
        <w:t>C</w:t>
      </w:r>
      <w:r w:rsidR="00376D0F" w:rsidRPr="007C0ACA">
        <w:t xml:space="preserve">alculation and </w:t>
      </w:r>
      <w:r w:rsidR="00A05991" w:rsidRPr="007C0ACA">
        <w:t>F</w:t>
      </w:r>
      <w:r w:rsidR="00376D0F" w:rsidRPr="007C0ACA">
        <w:t xml:space="preserve">ree </w:t>
      </w:r>
      <w:r w:rsidR="00A05991" w:rsidRPr="007C0ACA">
        <w:t>E</w:t>
      </w:r>
      <w:r w:rsidR="00376D0F" w:rsidRPr="007C0ACA">
        <w:t xml:space="preserve">nergy </w:t>
      </w:r>
      <w:r w:rsidR="00A05991" w:rsidRPr="007C0ACA">
        <w:t>D</w:t>
      </w:r>
      <w:r w:rsidR="00376D0F" w:rsidRPr="007C0ACA">
        <w:t xml:space="preserve">ecomposition for the Ras-Raf and Ras-RalGDS </w:t>
      </w:r>
      <w:r w:rsidR="00A05991" w:rsidRPr="007C0ACA">
        <w:t>C</w:t>
      </w:r>
      <w:r w:rsidR="00376D0F" w:rsidRPr="007C0ACA">
        <w:t>omplexes</w:t>
      </w:r>
      <w:r w:rsidR="00D461A5" w:rsidRPr="007C0ACA">
        <w:t>,</w:t>
      </w:r>
      <w:r w:rsidR="00376D0F" w:rsidRPr="007C0ACA">
        <w:t xml:space="preserve"> </w:t>
      </w:r>
      <w:r w:rsidR="00376D0F" w:rsidRPr="007C0ACA">
        <w:rPr>
          <w:i/>
        </w:rPr>
        <w:t>J. Mol. Biol.,</w:t>
      </w:r>
      <w:r w:rsidR="00376D0F" w:rsidRPr="007C0ACA">
        <w:t xml:space="preserve"> </w:t>
      </w:r>
      <w:r w:rsidR="00376D0F" w:rsidRPr="007C0ACA">
        <w:rPr>
          <w:b/>
        </w:rPr>
        <w:t>2003</w:t>
      </w:r>
      <w:r w:rsidR="00376D0F" w:rsidRPr="007C0ACA">
        <w:t xml:space="preserve">, </w:t>
      </w:r>
      <w:r w:rsidR="00376D0F" w:rsidRPr="007C0ACA">
        <w:rPr>
          <w:i/>
        </w:rPr>
        <w:t>330</w:t>
      </w:r>
      <w:r w:rsidR="00376D0F" w:rsidRPr="007C0ACA">
        <w:t>, 891-913</w:t>
      </w:r>
      <w:r w:rsidR="00376D0F" w:rsidRPr="007C0ACA">
        <w:rPr>
          <w:rFonts w:ascii="Calibri" w:hAnsi="Calibri" w:cs="Calibri"/>
          <w:noProof/>
          <w:szCs w:val="24"/>
        </w:rPr>
        <w:t xml:space="preserve">. </w:t>
      </w:r>
    </w:p>
    <w:p w14:paraId="255FD803" w14:textId="1454FD97" w:rsidR="00376D0F" w:rsidRPr="007C0ACA" w:rsidRDefault="0010098B" w:rsidP="0010098B">
      <w:pPr>
        <w:pStyle w:val="Senseespaiat"/>
        <w:spacing w:line="276" w:lineRule="auto"/>
        <w:jc w:val="both"/>
        <w:rPr>
          <w:rFonts w:ascii="Calibri" w:hAnsi="Calibri" w:cs="Calibri"/>
          <w:noProof/>
          <w:szCs w:val="24"/>
        </w:rPr>
      </w:pPr>
      <w:r w:rsidRPr="007C0ACA">
        <w:rPr>
          <w:rFonts w:ascii="Calibri" w:hAnsi="Calibri" w:cs="Calibri"/>
          <w:noProof/>
          <w:szCs w:val="24"/>
        </w:rPr>
        <w:t xml:space="preserve">(56) </w:t>
      </w:r>
      <w:r w:rsidR="00F306B9" w:rsidRPr="007C0ACA">
        <w:rPr>
          <w:rFonts w:ascii="Calibri" w:hAnsi="Calibri" w:cs="Calibri"/>
          <w:noProof/>
          <w:szCs w:val="24"/>
        </w:rPr>
        <w:t xml:space="preserve">Rokach, </w:t>
      </w:r>
      <w:r w:rsidR="00B21D1A" w:rsidRPr="007C0ACA">
        <w:rPr>
          <w:rFonts w:ascii="Calibri" w:hAnsi="Calibri" w:cs="Calibri"/>
          <w:noProof/>
          <w:szCs w:val="24"/>
        </w:rPr>
        <w:t>L.</w:t>
      </w:r>
      <w:r w:rsidR="00F306B9" w:rsidRPr="007C0ACA">
        <w:rPr>
          <w:rFonts w:ascii="Calibri" w:hAnsi="Calibri" w:cs="Calibri"/>
          <w:noProof/>
          <w:szCs w:val="24"/>
        </w:rPr>
        <w:t xml:space="preserve">; Maimon, </w:t>
      </w:r>
      <w:r w:rsidR="00B21D1A" w:rsidRPr="007C0ACA">
        <w:t>O.</w:t>
      </w:r>
      <w:r w:rsidR="00376D0F" w:rsidRPr="007C0ACA">
        <w:t xml:space="preserve"> </w:t>
      </w:r>
      <w:r w:rsidR="00B21D1A" w:rsidRPr="007C0ACA">
        <w:rPr>
          <w:i/>
        </w:rPr>
        <w:t>Data Mining and Knowledge Discovery Handbook</w:t>
      </w:r>
      <w:r w:rsidR="00B21D1A" w:rsidRPr="007C0ACA">
        <w:t xml:space="preserve">, </w:t>
      </w:r>
      <w:r w:rsidR="00F306B9" w:rsidRPr="007C0ACA">
        <w:t xml:space="preserve">Maimon, </w:t>
      </w:r>
      <w:r w:rsidR="00B21D1A" w:rsidRPr="007C0ACA">
        <w:t xml:space="preserve">O. </w:t>
      </w:r>
      <w:r w:rsidR="00F306B9" w:rsidRPr="007C0ACA">
        <w:t xml:space="preserve">Rokach, </w:t>
      </w:r>
      <w:r w:rsidR="00B21D1A" w:rsidRPr="007C0ACA">
        <w:t xml:space="preserve">L., Springer, Boston, MA, </w:t>
      </w:r>
      <w:r w:rsidR="00376D0F" w:rsidRPr="007C0ACA">
        <w:t>2005</w:t>
      </w:r>
      <w:r w:rsidR="00B21D1A" w:rsidRPr="007C0ACA">
        <w:t>,</w:t>
      </w:r>
      <w:r w:rsidR="00376D0F" w:rsidRPr="007C0ACA">
        <w:t xml:space="preserve"> Clustering Methods</w:t>
      </w:r>
      <w:r w:rsidR="00B21D1A" w:rsidRPr="007C0ACA">
        <w:t>, 321-352.</w:t>
      </w:r>
      <w:r w:rsidR="00376D0F" w:rsidRPr="007C0ACA">
        <w:t xml:space="preserve"> </w:t>
      </w:r>
    </w:p>
    <w:p w14:paraId="6A844D12" w14:textId="608B85F0" w:rsidR="00376D0F" w:rsidRPr="007C0ACA" w:rsidRDefault="0010098B" w:rsidP="0010098B">
      <w:pPr>
        <w:pStyle w:val="Senseespaiat"/>
        <w:spacing w:line="276" w:lineRule="auto"/>
        <w:jc w:val="both"/>
        <w:rPr>
          <w:iCs/>
        </w:rPr>
      </w:pPr>
      <w:r w:rsidRPr="007C0ACA">
        <w:rPr>
          <w:rFonts w:ascii="Calibri" w:hAnsi="Calibri" w:cs="Calibri"/>
          <w:noProof/>
          <w:szCs w:val="24"/>
        </w:rPr>
        <w:t xml:space="preserve">(57) </w:t>
      </w:r>
      <w:r w:rsidR="00F306B9" w:rsidRPr="007C0ACA">
        <w:rPr>
          <w:rFonts w:ascii="Calibri" w:hAnsi="Calibri" w:cs="Calibri"/>
          <w:noProof/>
          <w:szCs w:val="24"/>
        </w:rPr>
        <w:t xml:space="preserve">Delgado-Soler, </w:t>
      </w:r>
      <w:r w:rsidR="00376D0F" w:rsidRPr="007C0ACA">
        <w:rPr>
          <w:iCs/>
        </w:rPr>
        <w:t>L.</w:t>
      </w:r>
      <w:r w:rsidR="00F306B9" w:rsidRPr="007C0ACA">
        <w:rPr>
          <w:iCs/>
        </w:rPr>
        <w:t>; Pinto,</w:t>
      </w:r>
      <w:r w:rsidR="00376D0F" w:rsidRPr="007C0ACA">
        <w:rPr>
          <w:iCs/>
        </w:rPr>
        <w:t xml:space="preserve"> M.</w:t>
      </w:r>
      <w:r w:rsidR="00F306B9" w:rsidRPr="007C0ACA">
        <w:rPr>
          <w:iCs/>
        </w:rPr>
        <w:t>; Tanaka-Gil,</w:t>
      </w:r>
      <w:r w:rsidR="00376D0F" w:rsidRPr="007C0ACA">
        <w:rPr>
          <w:iCs/>
        </w:rPr>
        <w:t xml:space="preserve"> K.</w:t>
      </w:r>
      <w:r w:rsidR="00F306B9" w:rsidRPr="007C0ACA">
        <w:rPr>
          <w:iCs/>
        </w:rPr>
        <w:t>; Rubio-Martinez,</w:t>
      </w:r>
      <w:r w:rsidR="00376D0F" w:rsidRPr="007C0ACA">
        <w:rPr>
          <w:iCs/>
        </w:rPr>
        <w:t xml:space="preserve"> J. Molecular Determinants of Bim(BH3) </w:t>
      </w:r>
      <w:r w:rsidR="00A05991" w:rsidRPr="007C0ACA">
        <w:rPr>
          <w:iCs/>
        </w:rPr>
        <w:t>P</w:t>
      </w:r>
      <w:r w:rsidR="00376D0F" w:rsidRPr="007C0ACA">
        <w:rPr>
          <w:iCs/>
        </w:rPr>
        <w:t xml:space="preserve">eptide </w:t>
      </w:r>
      <w:r w:rsidR="00A05991" w:rsidRPr="007C0ACA">
        <w:rPr>
          <w:iCs/>
        </w:rPr>
        <w:t>B</w:t>
      </w:r>
      <w:r w:rsidR="00376D0F" w:rsidRPr="007C0ACA">
        <w:rPr>
          <w:iCs/>
        </w:rPr>
        <w:t xml:space="preserve">inding to </w:t>
      </w:r>
      <w:r w:rsidR="00A05991" w:rsidRPr="007C0ACA">
        <w:rPr>
          <w:iCs/>
        </w:rPr>
        <w:t>P</w:t>
      </w:r>
      <w:r w:rsidR="00376D0F" w:rsidRPr="007C0ACA">
        <w:rPr>
          <w:iCs/>
        </w:rPr>
        <w:t>ro-</w:t>
      </w:r>
      <w:r w:rsidR="00A05991" w:rsidRPr="007C0ACA">
        <w:rPr>
          <w:iCs/>
        </w:rPr>
        <w:t>S</w:t>
      </w:r>
      <w:r w:rsidR="00376D0F" w:rsidRPr="007C0ACA">
        <w:rPr>
          <w:iCs/>
        </w:rPr>
        <w:t xml:space="preserve">urvival </w:t>
      </w:r>
      <w:r w:rsidR="00A05991" w:rsidRPr="007C0ACA">
        <w:rPr>
          <w:iCs/>
        </w:rPr>
        <w:t>P</w:t>
      </w:r>
      <w:r w:rsidR="00376D0F" w:rsidRPr="007C0ACA">
        <w:rPr>
          <w:iCs/>
        </w:rPr>
        <w:t xml:space="preserve">roteins, </w:t>
      </w:r>
      <w:r w:rsidR="00376D0F" w:rsidRPr="007C0ACA">
        <w:rPr>
          <w:i/>
          <w:iCs/>
        </w:rPr>
        <w:t>J. Chem. Inf. Model</w:t>
      </w:r>
      <w:r w:rsidR="00376D0F" w:rsidRPr="007C0ACA">
        <w:rPr>
          <w:iCs/>
        </w:rPr>
        <w:t xml:space="preserve">., </w:t>
      </w:r>
      <w:r w:rsidR="00376D0F" w:rsidRPr="007C0ACA">
        <w:rPr>
          <w:b/>
          <w:iCs/>
        </w:rPr>
        <w:t>2012</w:t>
      </w:r>
      <w:r w:rsidR="00376D0F" w:rsidRPr="007C0ACA">
        <w:rPr>
          <w:iCs/>
        </w:rPr>
        <w:t xml:space="preserve">, </w:t>
      </w:r>
      <w:r w:rsidR="00376D0F" w:rsidRPr="007C0ACA">
        <w:rPr>
          <w:i/>
          <w:iCs/>
        </w:rPr>
        <w:t>52</w:t>
      </w:r>
      <w:r w:rsidR="00376D0F" w:rsidRPr="007C0ACA">
        <w:rPr>
          <w:iCs/>
        </w:rPr>
        <w:t>, 2107-2118</w:t>
      </w:r>
      <w:r w:rsidRPr="007C0ACA">
        <w:rPr>
          <w:iCs/>
        </w:rPr>
        <w:t>.</w:t>
      </w:r>
    </w:p>
    <w:p w14:paraId="232D7B0F" w14:textId="22D6BF26" w:rsidR="00E06936" w:rsidRPr="007C0ACA" w:rsidRDefault="00E06936" w:rsidP="0010098B">
      <w:pPr>
        <w:pStyle w:val="Senseespaiat"/>
        <w:spacing w:line="276" w:lineRule="auto"/>
        <w:jc w:val="both"/>
        <w:rPr>
          <w:iCs/>
        </w:rPr>
      </w:pPr>
    </w:p>
    <w:p w14:paraId="236FE056" w14:textId="15FDFA51" w:rsidR="00E06936" w:rsidRPr="007C0ACA" w:rsidRDefault="00E06936" w:rsidP="0010098B">
      <w:pPr>
        <w:pStyle w:val="Senseespaiat"/>
        <w:spacing w:line="276" w:lineRule="auto"/>
        <w:jc w:val="both"/>
        <w:rPr>
          <w:iCs/>
        </w:rPr>
      </w:pPr>
    </w:p>
    <w:p w14:paraId="4B78BC4F" w14:textId="20314269" w:rsidR="00E06936" w:rsidRPr="007C0ACA" w:rsidRDefault="00E06936" w:rsidP="0010098B">
      <w:pPr>
        <w:pStyle w:val="Senseespaiat"/>
        <w:spacing w:line="276" w:lineRule="auto"/>
        <w:jc w:val="both"/>
      </w:pPr>
    </w:p>
    <w:p w14:paraId="1CCD777C" w14:textId="116D9283" w:rsidR="00E06936" w:rsidRPr="007C0ACA" w:rsidRDefault="00E06936" w:rsidP="0010098B">
      <w:pPr>
        <w:pStyle w:val="Senseespaiat"/>
        <w:spacing w:line="276" w:lineRule="auto"/>
        <w:jc w:val="both"/>
      </w:pPr>
    </w:p>
    <w:p w14:paraId="339A637D" w14:textId="44E77938" w:rsidR="00E06936" w:rsidRPr="007C0ACA" w:rsidRDefault="00E06936" w:rsidP="0010098B">
      <w:pPr>
        <w:pStyle w:val="Senseespaiat"/>
        <w:spacing w:line="276" w:lineRule="auto"/>
        <w:jc w:val="both"/>
      </w:pPr>
    </w:p>
    <w:p w14:paraId="7F2225C4" w14:textId="5C0FDAE5" w:rsidR="00E06936" w:rsidRPr="007C0ACA" w:rsidRDefault="00E06936" w:rsidP="0010098B">
      <w:pPr>
        <w:pStyle w:val="Senseespaiat"/>
        <w:spacing w:line="276" w:lineRule="auto"/>
        <w:jc w:val="both"/>
      </w:pPr>
    </w:p>
    <w:p w14:paraId="674D656C" w14:textId="1F38BF19" w:rsidR="00E06936" w:rsidRPr="007C0ACA" w:rsidRDefault="00E06936" w:rsidP="0010098B">
      <w:pPr>
        <w:pStyle w:val="Senseespaiat"/>
        <w:spacing w:line="276" w:lineRule="auto"/>
        <w:jc w:val="both"/>
      </w:pPr>
    </w:p>
    <w:p w14:paraId="5F07D3E8" w14:textId="4A596377" w:rsidR="00E06936" w:rsidRPr="007C0ACA" w:rsidRDefault="00E06936" w:rsidP="0010098B">
      <w:pPr>
        <w:pStyle w:val="Senseespaiat"/>
        <w:spacing w:line="276" w:lineRule="auto"/>
        <w:jc w:val="both"/>
      </w:pPr>
    </w:p>
    <w:p w14:paraId="6249B38E" w14:textId="407A3AEF" w:rsidR="00E06936" w:rsidRPr="007C0ACA" w:rsidRDefault="00E06936" w:rsidP="0010098B">
      <w:pPr>
        <w:pStyle w:val="Senseespaiat"/>
        <w:spacing w:line="276" w:lineRule="auto"/>
        <w:jc w:val="both"/>
      </w:pPr>
    </w:p>
    <w:p w14:paraId="2C33AF54" w14:textId="55D9EE73" w:rsidR="00E06936" w:rsidRPr="007C0ACA" w:rsidRDefault="00E06936" w:rsidP="0010098B">
      <w:pPr>
        <w:pStyle w:val="Senseespaiat"/>
        <w:spacing w:line="276" w:lineRule="auto"/>
        <w:jc w:val="both"/>
      </w:pPr>
    </w:p>
    <w:p w14:paraId="249D8FD0" w14:textId="4BA2F6D4" w:rsidR="00E06936" w:rsidRPr="007C0ACA" w:rsidRDefault="00E06936" w:rsidP="0010098B">
      <w:pPr>
        <w:pStyle w:val="Senseespaiat"/>
        <w:spacing w:line="276" w:lineRule="auto"/>
        <w:jc w:val="both"/>
      </w:pPr>
    </w:p>
    <w:p w14:paraId="45E3FBCE" w14:textId="563FF10A" w:rsidR="00E06936" w:rsidRPr="007C0ACA" w:rsidRDefault="00E06936" w:rsidP="0010098B">
      <w:pPr>
        <w:pStyle w:val="Senseespaiat"/>
        <w:spacing w:line="276" w:lineRule="auto"/>
        <w:jc w:val="both"/>
      </w:pPr>
    </w:p>
    <w:p w14:paraId="6E0EF95A" w14:textId="4F80E10A" w:rsidR="00E06936" w:rsidRPr="007C0ACA" w:rsidRDefault="00E06936" w:rsidP="0010098B">
      <w:pPr>
        <w:pStyle w:val="Senseespaiat"/>
        <w:spacing w:line="276" w:lineRule="auto"/>
        <w:jc w:val="both"/>
      </w:pPr>
    </w:p>
    <w:p w14:paraId="1E46137A" w14:textId="0165F6CE" w:rsidR="00E06936" w:rsidRPr="007C0ACA" w:rsidRDefault="00E06936" w:rsidP="0010098B">
      <w:pPr>
        <w:pStyle w:val="Senseespaiat"/>
        <w:spacing w:line="276" w:lineRule="auto"/>
        <w:jc w:val="both"/>
      </w:pPr>
    </w:p>
    <w:p w14:paraId="3FB9FB40" w14:textId="5CE8ABDA" w:rsidR="00E06936" w:rsidRPr="007C0ACA" w:rsidRDefault="00E06936" w:rsidP="0010098B">
      <w:pPr>
        <w:pStyle w:val="Senseespaiat"/>
        <w:spacing w:line="276" w:lineRule="auto"/>
        <w:jc w:val="both"/>
      </w:pPr>
    </w:p>
    <w:p w14:paraId="6515BB2F" w14:textId="0DBAF6FC" w:rsidR="00E06936" w:rsidRPr="007C0ACA" w:rsidRDefault="00E06936" w:rsidP="0010098B">
      <w:pPr>
        <w:pStyle w:val="Senseespaiat"/>
        <w:spacing w:line="276" w:lineRule="auto"/>
        <w:jc w:val="both"/>
      </w:pPr>
    </w:p>
    <w:p w14:paraId="58A1CD27" w14:textId="5248466E" w:rsidR="00E06936" w:rsidRPr="007C0ACA" w:rsidRDefault="00E06936" w:rsidP="0010098B">
      <w:pPr>
        <w:pStyle w:val="Senseespaiat"/>
        <w:spacing w:line="276" w:lineRule="auto"/>
        <w:jc w:val="both"/>
      </w:pPr>
    </w:p>
    <w:p w14:paraId="39C2CE11" w14:textId="01682F6E" w:rsidR="00E06936" w:rsidRPr="007C0ACA" w:rsidRDefault="00E06936" w:rsidP="0010098B">
      <w:pPr>
        <w:pStyle w:val="Senseespaiat"/>
        <w:spacing w:line="276" w:lineRule="auto"/>
        <w:jc w:val="both"/>
      </w:pPr>
    </w:p>
    <w:p w14:paraId="14F04CDB" w14:textId="61C12262" w:rsidR="00E06936" w:rsidRPr="007C0ACA" w:rsidRDefault="00E06936" w:rsidP="0010098B">
      <w:pPr>
        <w:pStyle w:val="Senseespaiat"/>
        <w:spacing w:line="276" w:lineRule="auto"/>
        <w:jc w:val="both"/>
      </w:pPr>
    </w:p>
    <w:p w14:paraId="4950F11D" w14:textId="413ED015" w:rsidR="00E06936" w:rsidRPr="007C0ACA" w:rsidRDefault="00E06936" w:rsidP="0010098B">
      <w:pPr>
        <w:pStyle w:val="Senseespaiat"/>
        <w:spacing w:line="276" w:lineRule="auto"/>
        <w:jc w:val="both"/>
      </w:pPr>
    </w:p>
    <w:p w14:paraId="21C19AB6" w14:textId="1B58ECDF" w:rsidR="00E06936" w:rsidRPr="007C0ACA" w:rsidRDefault="00E06936" w:rsidP="0010098B">
      <w:pPr>
        <w:pStyle w:val="Senseespaiat"/>
        <w:spacing w:line="276" w:lineRule="auto"/>
        <w:jc w:val="both"/>
      </w:pPr>
    </w:p>
    <w:p w14:paraId="3D83D5B1" w14:textId="05A9C75D" w:rsidR="00E06936" w:rsidRPr="007C0ACA" w:rsidRDefault="00E06936" w:rsidP="0010098B">
      <w:pPr>
        <w:pStyle w:val="Senseespaiat"/>
        <w:spacing w:line="276" w:lineRule="auto"/>
        <w:jc w:val="both"/>
      </w:pPr>
    </w:p>
    <w:p w14:paraId="5D51E904" w14:textId="2A651B11" w:rsidR="00E06936" w:rsidRPr="007C0ACA" w:rsidRDefault="00E06936" w:rsidP="0010098B">
      <w:pPr>
        <w:pStyle w:val="Senseespaiat"/>
        <w:spacing w:line="276" w:lineRule="auto"/>
        <w:jc w:val="both"/>
      </w:pPr>
    </w:p>
    <w:p w14:paraId="03CC2223" w14:textId="49464CB7" w:rsidR="00E06936" w:rsidRPr="007C0ACA" w:rsidRDefault="00E06936" w:rsidP="0010098B">
      <w:pPr>
        <w:pStyle w:val="Senseespaiat"/>
        <w:spacing w:line="276" w:lineRule="auto"/>
        <w:jc w:val="both"/>
      </w:pPr>
    </w:p>
    <w:p w14:paraId="28F9E492" w14:textId="15C27196" w:rsidR="00E06936" w:rsidRPr="007C0ACA" w:rsidRDefault="00E06936" w:rsidP="0010098B">
      <w:pPr>
        <w:pStyle w:val="Senseespaiat"/>
        <w:spacing w:line="276" w:lineRule="auto"/>
        <w:jc w:val="both"/>
      </w:pPr>
    </w:p>
    <w:p w14:paraId="5F8C31FA" w14:textId="20661D49" w:rsidR="00E06936" w:rsidRPr="007C0ACA" w:rsidRDefault="00E06936" w:rsidP="0010098B">
      <w:pPr>
        <w:pStyle w:val="Senseespaiat"/>
        <w:spacing w:line="276" w:lineRule="auto"/>
        <w:jc w:val="both"/>
      </w:pPr>
    </w:p>
    <w:p w14:paraId="087E4EB7" w14:textId="709E8A1C" w:rsidR="00E06936" w:rsidRPr="007C0ACA" w:rsidRDefault="00E06936" w:rsidP="0010098B">
      <w:pPr>
        <w:pStyle w:val="Senseespaiat"/>
        <w:spacing w:line="276" w:lineRule="auto"/>
        <w:jc w:val="both"/>
      </w:pPr>
    </w:p>
    <w:p w14:paraId="0D2546E4" w14:textId="6A1D4FE6" w:rsidR="00E06936" w:rsidRPr="007C0ACA" w:rsidRDefault="00E06936" w:rsidP="0010098B">
      <w:pPr>
        <w:pStyle w:val="Senseespaiat"/>
        <w:spacing w:line="276" w:lineRule="auto"/>
        <w:jc w:val="both"/>
      </w:pPr>
    </w:p>
    <w:p w14:paraId="018F17CE" w14:textId="6990E6DE" w:rsidR="00E06936" w:rsidRPr="007C0ACA" w:rsidRDefault="00E06936" w:rsidP="0010098B">
      <w:pPr>
        <w:pStyle w:val="Senseespaiat"/>
        <w:spacing w:line="276" w:lineRule="auto"/>
        <w:jc w:val="both"/>
      </w:pPr>
    </w:p>
    <w:p w14:paraId="76F5B2DB" w14:textId="4ADB698E" w:rsidR="00E06936" w:rsidRPr="007C0ACA" w:rsidRDefault="00E06936" w:rsidP="0010098B">
      <w:pPr>
        <w:pStyle w:val="Senseespaiat"/>
        <w:spacing w:line="276" w:lineRule="auto"/>
        <w:jc w:val="both"/>
      </w:pPr>
    </w:p>
    <w:p w14:paraId="5E6D38F0" w14:textId="1F2E2C8D" w:rsidR="00E06936" w:rsidRPr="007C0ACA" w:rsidRDefault="00E06936" w:rsidP="0010098B">
      <w:pPr>
        <w:pStyle w:val="Senseespaiat"/>
        <w:spacing w:line="276" w:lineRule="auto"/>
        <w:jc w:val="both"/>
      </w:pPr>
    </w:p>
    <w:p w14:paraId="496FDD23" w14:textId="63835F3B" w:rsidR="00E06936" w:rsidRPr="007C0ACA" w:rsidRDefault="00E06936" w:rsidP="0010098B">
      <w:pPr>
        <w:pStyle w:val="Senseespaiat"/>
        <w:spacing w:line="276" w:lineRule="auto"/>
        <w:jc w:val="both"/>
      </w:pPr>
    </w:p>
    <w:p w14:paraId="41E93A44" w14:textId="2B6D28C2" w:rsidR="00E06936" w:rsidRPr="007C0ACA" w:rsidRDefault="00E06936" w:rsidP="0010098B">
      <w:pPr>
        <w:pStyle w:val="Senseespaiat"/>
        <w:spacing w:line="276" w:lineRule="auto"/>
        <w:jc w:val="both"/>
      </w:pPr>
    </w:p>
    <w:p w14:paraId="15C15D17" w14:textId="361D0131" w:rsidR="00E06936" w:rsidRPr="007C0ACA" w:rsidRDefault="00E06936" w:rsidP="0010098B">
      <w:pPr>
        <w:pStyle w:val="Senseespaiat"/>
        <w:spacing w:line="276" w:lineRule="auto"/>
        <w:jc w:val="both"/>
      </w:pPr>
    </w:p>
    <w:p w14:paraId="11C3735E" w14:textId="122DAA54" w:rsidR="00E06936" w:rsidRPr="007C0ACA" w:rsidRDefault="00E06936" w:rsidP="0010098B">
      <w:pPr>
        <w:pStyle w:val="Senseespaiat"/>
        <w:spacing w:line="276" w:lineRule="auto"/>
        <w:jc w:val="both"/>
      </w:pPr>
    </w:p>
    <w:p w14:paraId="417F6329" w14:textId="10558AB0" w:rsidR="00B3525E" w:rsidRPr="007C0ACA" w:rsidRDefault="00B3525E" w:rsidP="00B3525E">
      <w:pPr>
        <w:jc w:val="both"/>
        <w:rPr>
          <w:bCs/>
        </w:rPr>
      </w:pPr>
      <w:r w:rsidRPr="007C0ACA">
        <w:rPr>
          <w:bCs/>
        </w:rPr>
        <w:lastRenderedPageBreak/>
        <w:t xml:space="preserve">Table 1: Average frequency </w:t>
      </w:r>
      <w:r w:rsidR="00912838" w:rsidRPr="007C0ACA">
        <w:rPr>
          <w:bCs/>
        </w:rPr>
        <w:t>of hydrogen bond formation</w:t>
      </w:r>
      <w:r w:rsidRPr="007C0ACA">
        <w:rPr>
          <w:bCs/>
        </w:rPr>
        <w:t xml:space="preserve"> in the last 50ns of all simulations between Bak residues and 9R1 155 residue from Bim(h3Pc) in the </w:t>
      </w:r>
      <w:r w:rsidRPr="007C0ACA">
        <w:rPr>
          <w:bCs/>
          <w:i/>
        </w:rPr>
        <w:t>inactive</w:t>
      </w:r>
      <w:r w:rsidRPr="007C0ACA">
        <w:rPr>
          <w:bCs/>
        </w:rPr>
        <w:t xml:space="preserve"> and </w:t>
      </w:r>
      <w:r w:rsidRPr="007C0ACA">
        <w:rPr>
          <w:bCs/>
          <w:i/>
        </w:rPr>
        <w:t>active</w:t>
      </w:r>
      <w:r w:rsidRPr="007C0ACA">
        <w:rPr>
          <w:bCs/>
        </w:rPr>
        <w:t xml:space="preserve"> complexes. </w:t>
      </w:r>
    </w:p>
    <w:p w14:paraId="1583FE0B" w14:textId="198F84BD" w:rsidR="00E06936" w:rsidRPr="007C0ACA" w:rsidRDefault="00B3525E" w:rsidP="0010098B">
      <w:pPr>
        <w:pStyle w:val="Senseespaiat"/>
        <w:spacing w:line="276" w:lineRule="auto"/>
        <w:jc w:val="both"/>
      </w:pPr>
      <w:r w:rsidRPr="007C0ACA">
        <w:t xml:space="preserve">       </w:t>
      </w:r>
    </w:p>
    <w:tbl>
      <w:tblPr>
        <w:tblpPr w:leftFromText="180" w:rightFromText="180" w:vertAnchor="page" w:horzAnchor="margin" w:tblpXSpec="center" w:tblpY="3449"/>
        <w:tblW w:w="0" w:type="auto"/>
        <w:tblCellMar>
          <w:left w:w="0" w:type="dxa"/>
          <w:right w:w="0" w:type="dxa"/>
        </w:tblCellMar>
        <w:tblLook w:val="0600" w:firstRow="0" w:lastRow="0" w:firstColumn="0" w:lastColumn="0" w:noHBand="1" w:noVBand="1"/>
      </w:tblPr>
      <w:tblGrid>
        <w:gridCol w:w="2492"/>
        <w:gridCol w:w="1324"/>
        <w:gridCol w:w="1123"/>
        <w:gridCol w:w="1324"/>
        <w:gridCol w:w="1122"/>
      </w:tblGrid>
      <w:tr w:rsidR="00E06936" w:rsidRPr="007C0ACA" w14:paraId="0F706CBD" w14:textId="77777777" w:rsidTr="00A90638">
        <w:trPr>
          <w:trHeight w:val="369"/>
        </w:trPr>
        <w:tc>
          <w:tcPr>
            <w:tcW w:w="0" w:type="auto"/>
            <w:vMerge w:val="restart"/>
            <w:tcBorders>
              <w:top w:val="single" w:sz="18" w:space="0" w:color="auto"/>
              <w:bottom w:val="single" w:sz="12" w:space="0" w:color="auto"/>
              <w:right w:val="single" w:sz="12" w:space="0" w:color="auto"/>
            </w:tcBorders>
            <w:shd w:val="clear" w:color="auto" w:fill="auto"/>
            <w:tcMar>
              <w:top w:w="12" w:type="dxa"/>
              <w:left w:w="12" w:type="dxa"/>
              <w:bottom w:w="0" w:type="dxa"/>
              <w:right w:w="12" w:type="dxa"/>
            </w:tcMar>
            <w:vAlign w:val="center"/>
            <w:hideMark/>
          </w:tcPr>
          <w:p w14:paraId="452FBC99" w14:textId="77777777" w:rsidR="00E06936" w:rsidRPr="007C0ACA" w:rsidRDefault="00E06936" w:rsidP="00A90638">
            <w:pPr>
              <w:pStyle w:val="Senseespaiat"/>
              <w:jc w:val="center"/>
              <w:rPr>
                <w:b/>
                <w:sz w:val="28"/>
              </w:rPr>
            </w:pPr>
            <w:r w:rsidRPr="007C0ACA">
              <w:rPr>
                <w:b/>
                <w:sz w:val="28"/>
              </w:rPr>
              <w:t>H-BOND</w:t>
            </w:r>
          </w:p>
        </w:tc>
        <w:tc>
          <w:tcPr>
            <w:tcW w:w="0" w:type="auto"/>
            <w:gridSpan w:val="2"/>
            <w:tcBorders>
              <w:top w:val="single" w:sz="18" w:space="0" w:color="auto"/>
              <w:left w:val="single" w:sz="12" w:space="0" w:color="auto"/>
              <w:right w:val="single" w:sz="12" w:space="0" w:color="auto"/>
            </w:tcBorders>
            <w:shd w:val="clear" w:color="auto" w:fill="auto"/>
            <w:tcMar>
              <w:top w:w="12" w:type="dxa"/>
              <w:left w:w="12" w:type="dxa"/>
              <w:bottom w:w="0" w:type="dxa"/>
              <w:right w:w="12" w:type="dxa"/>
            </w:tcMar>
            <w:vAlign w:val="center"/>
            <w:hideMark/>
          </w:tcPr>
          <w:p w14:paraId="5363161E" w14:textId="77777777" w:rsidR="00E06936" w:rsidRPr="007C0ACA" w:rsidRDefault="00E06936" w:rsidP="00A90638">
            <w:pPr>
              <w:pStyle w:val="Senseespaiat"/>
              <w:jc w:val="center"/>
              <w:rPr>
                <w:b/>
                <w:i/>
                <w:sz w:val="28"/>
              </w:rPr>
            </w:pPr>
            <w:r w:rsidRPr="007C0ACA">
              <w:rPr>
                <w:b/>
                <w:i/>
                <w:sz w:val="28"/>
              </w:rPr>
              <w:t>INACTIVE</w:t>
            </w:r>
          </w:p>
        </w:tc>
        <w:tc>
          <w:tcPr>
            <w:tcW w:w="0" w:type="auto"/>
            <w:gridSpan w:val="2"/>
            <w:tcBorders>
              <w:top w:val="single" w:sz="18" w:space="0" w:color="auto"/>
              <w:left w:val="single" w:sz="12" w:space="0" w:color="auto"/>
              <w:bottom w:val="single" w:sz="12" w:space="0" w:color="auto"/>
            </w:tcBorders>
            <w:shd w:val="clear" w:color="auto" w:fill="auto"/>
            <w:tcMar>
              <w:top w:w="12" w:type="dxa"/>
              <w:left w:w="12" w:type="dxa"/>
              <w:bottom w:w="0" w:type="dxa"/>
              <w:right w:w="12" w:type="dxa"/>
            </w:tcMar>
            <w:vAlign w:val="center"/>
            <w:hideMark/>
          </w:tcPr>
          <w:p w14:paraId="1B546341" w14:textId="77777777" w:rsidR="00E06936" w:rsidRPr="007C0ACA" w:rsidRDefault="00E06936" w:rsidP="00A90638">
            <w:pPr>
              <w:pStyle w:val="Senseespaiat"/>
              <w:jc w:val="center"/>
              <w:rPr>
                <w:b/>
                <w:i/>
                <w:sz w:val="28"/>
              </w:rPr>
            </w:pPr>
            <w:r w:rsidRPr="007C0ACA">
              <w:rPr>
                <w:b/>
                <w:i/>
                <w:sz w:val="28"/>
              </w:rPr>
              <w:t>ACTIVE</w:t>
            </w:r>
          </w:p>
        </w:tc>
      </w:tr>
      <w:tr w:rsidR="00E06936" w:rsidRPr="007C0ACA" w14:paraId="39596C12" w14:textId="77777777" w:rsidTr="00A90638">
        <w:trPr>
          <w:trHeight w:val="374"/>
        </w:trPr>
        <w:tc>
          <w:tcPr>
            <w:tcW w:w="0" w:type="auto"/>
            <w:vMerge/>
            <w:tcBorders>
              <w:top w:val="single" w:sz="12" w:space="0" w:color="auto"/>
              <w:bottom w:val="single" w:sz="12" w:space="0" w:color="auto"/>
              <w:right w:val="single" w:sz="12" w:space="0" w:color="auto"/>
            </w:tcBorders>
            <w:vAlign w:val="center"/>
            <w:hideMark/>
          </w:tcPr>
          <w:p w14:paraId="67084402" w14:textId="77777777" w:rsidR="00E06936" w:rsidRPr="007C0ACA" w:rsidRDefault="00E06936" w:rsidP="00A90638">
            <w:pPr>
              <w:pStyle w:val="Senseespaiat"/>
              <w:jc w:val="center"/>
              <w:rPr>
                <w:b/>
              </w:rPr>
            </w:pPr>
          </w:p>
        </w:tc>
        <w:tc>
          <w:tcPr>
            <w:tcW w:w="0" w:type="auto"/>
            <w:tcBorders>
              <w:top w:val="single" w:sz="12" w:space="0" w:color="auto"/>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4325E727" w14:textId="77777777" w:rsidR="00E06936" w:rsidRPr="007C0ACA" w:rsidRDefault="00E06936" w:rsidP="00A90638">
            <w:pPr>
              <w:pStyle w:val="Senseespaiat"/>
              <w:jc w:val="center"/>
              <w:rPr>
                <w:b/>
              </w:rPr>
            </w:pPr>
            <w:r w:rsidRPr="007C0ACA">
              <w:rPr>
                <w:b/>
              </w:rPr>
              <w:t>Frequency (%)</w:t>
            </w:r>
          </w:p>
        </w:tc>
        <w:tc>
          <w:tcPr>
            <w:tcW w:w="0" w:type="auto"/>
            <w:tcBorders>
              <w:top w:val="single" w:sz="12" w:space="0" w:color="auto"/>
              <w:left w:val="single" w:sz="8" w:space="0" w:color="auto"/>
              <w:bottom w:val="single" w:sz="12" w:space="0" w:color="auto"/>
              <w:right w:val="single" w:sz="12" w:space="0" w:color="auto"/>
            </w:tcBorders>
            <w:shd w:val="clear" w:color="auto" w:fill="auto"/>
            <w:tcMar>
              <w:top w:w="12" w:type="dxa"/>
              <w:left w:w="12" w:type="dxa"/>
              <w:bottom w:w="0" w:type="dxa"/>
              <w:right w:w="12" w:type="dxa"/>
            </w:tcMar>
            <w:vAlign w:val="center"/>
            <w:hideMark/>
          </w:tcPr>
          <w:p w14:paraId="2021A8A0" w14:textId="77777777" w:rsidR="00E06936" w:rsidRPr="007C0ACA" w:rsidRDefault="00E06936" w:rsidP="00A90638">
            <w:pPr>
              <w:pStyle w:val="Senseespaiat"/>
              <w:jc w:val="center"/>
              <w:rPr>
                <w:b/>
              </w:rPr>
            </w:pPr>
            <w:r w:rsidRPr="007C0ACA">
              <w:rPr>
                <w:b/>
              </w:rPr>
              <w:t>Average (%)</w:t>
            </w:r>
          </w:p>
        </w:tc>
        <w:tc>
          <w:tcPr>
            <w:tcW w:w="0" w:type="auto"/>
            <w:tcBorders>
              <w:top w:val="single" w:sz="12" w:space="0" w:color="auto"/>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464EB35A" w14:textId="77777777" w:rsidR="00E06936" w:rsidRPr="007C0ACA" w:rsidRDefault="00E06936" w:rsidP="00A90638">
            <w:pPr>
              <w:pStyle w:val="Senseespaiat"/>
              <w:jc w:val="center"/>
              <w:rPr>
                <w:b/>
              </w:rPr>
            </w:pPr>
            <w:r w:rsidRPr="007C0ACA">
              <w:rPr>
                <w:b/>
              </w:rPr>
              <w:t>Frequency (%)</w:t>
            </w:r>
          </w:p>
        </w:tc>
        <w:tc>
          <w:tcPr>
            <w:tcW w:w="0" w:type="auto"/>
            <w:tcBorders>
              <w:top w:val="single" w:sz="12" w:space="0" w:color="auto"/>
              <w:left w:val="single" w:sz="8" w:space="0" w:color="auto"/>
              <w:bottom w:val="single" w:sz="12" w:space="0" w:color="auto"/>
            </w:tcBorders>
            <w:shd w:val="clear" w:color="auto" w:fill="auto"/>
            <w:tcMar>
              <w:top w:w="12" w:type="dxa"/>
              <w:left w:w="12" w:type="dxa"/>
              <w:bottom w:w="0" w:type="dxa"/>
              <w:right w:w="12" w:type="dxa"/>
            </w:tcMar>
            <w:vAlign w:val="center"/>
            <w:hideMark/>
          </w:tcPr>
          <w:p w14:paraId="54436A7F" w14:textId="77777777" w:rsidR="00E06936" w:rsidRPr="007C0ACA" w:rsidRDefault="00E06936" w:rsidP="00A90638">
            <w:pPr>
              <w:pStyle w:val="Senseespaiat"/>
              <w:jc w:val="center"/>
              <w:rPr>
                <w:b/>
              </w:rPr>
            </w:pPr>
            <w:r w:rsidRPr="007C0ACA">
              <w:rPr>
                <w:b/>
              </w:rPr>
              <w:t>Average (%)</w:t>
            </w:r>
          </w:p>
        </w:tc>
      </w:tr>
      <w:tr w:rsidR="00E06936" w:rsidRPr="007C0ACA" w14:paraId="7C6BFC56" w14:textId="77777777" w:rsidTr="00A90638">
        <w:trPr>
          <w:trHeight w:val="373"/>
        </w:trPr>
        <w:tc>
          <w:tcPr>
            <w:tcW w:w="0" w:type="auto"/>
            <w:vMerge w:val="restart"/>
            <w:tcBorders>
              <w:top w:val="single" w:sz="12" w:space="0" w:color="auto"/>
              <w:right w:val="single" w:sz="12" w:space="0" w:color="auto"/>
            </w:tcBorders>
            <w:shd w:val="clear" w:color="auto" w:fill="auto"/>
            <w:tcMar>
              <w:top w:w="12" w:type="dxa"/>
              <w:left w:w="12" w:type="dxa"/>
              <w:bottom w:w="0" w:type="dxa"/>
              <w:right w:w="12" w:type="dxa"/>
            </w:tcMar>
            <w:vAlign w:val="center"/>
            <w:hideMark/>
          </w:tcPr>
          <w:p w14:paraId="3693B187" w14:textId="77777777" w:rsidR="00E06936" w:rsidRPr="007C0ACA" w:rsidRDefault="00E06936" w:rsidP="00A90638">
            <w:pPr>
              <w:pStyle w:val="Senseespaiat"/>
              <w:jc w:val="center"/>
              <w:rPr>
                <w:b/>
                <w:sz w:val="24"/>
              </w:rPr>
            </w:pPr>
            <w:r w:rsidRPr="007C0ACA">
              <w:rPr>
                <w:b/>
                <w:sz w:val="24"/>
              </w:rPr>
              <w:t>ARG 42 (NH1) - 9R1 155</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5B0E4A5A" w14:textId="77777777" w:rsidR="00E06936" w:rsidRPr="007C0ACA" w:rsidRDefault="00E06936" w:rsidP="00A90638">
            <w:pPr>
              <w:pStyle w:val="Senseespaiat"/>
              <w:jc w:val="center"/>
            </w:pPr>
            <w:r w:rsidRPr="007C0ACA">
              <w:t>96.4</w:t>
            </w:r>
          </w:p>
        </w:tc>
        <w:tc>
          <w:tcPr>
            <w:tcW w:w="0" w:type="auto"/>
            <w:vMerge w:val="restart"/>
            <w:tcBorders>
              <w:top w:val="single" w:sz="12" w:space="0" w:color="auto"/>
              <w:left w:val="single" w:sz="8" w:space="0" w:color="auto"/>
              <w:right w:val="single" w:sz="12" w:space="0" w:color="auto"/>
            </w:tcBorders>
            <w:shd w:val="clear" w:color="auto" w:fill="auto"/>
            <w:tcMar>
              <w:top w:w="12" w:type="dxa"/>
              <w:left w:w="12" w:type="dxa"/>
              <w:bottom w:w="0" w:type="dxa"/>
              <w:right w:w="12" w:type="dxa"/>
            </w:tcMar>
            <w:vAlign w:val="center"/>
            <w:hideMark/>
          </w:tcPr>
          <w:p w14:paraId="4E475562" w14:textId="77777777" w:rsidR="00E06936" w:rsidRPr="007C0ACA" w:rsidRDefault="00E06936" w:rsidP="00A90638">
            <w:pPr>
              <w:pStyle w:val="Senseespaiat"/>
              <w:jc w:val="center"/>
            </w:pPr>
            <w:r w:rsidRPr="007C0ACA">
              <w:t>97.0</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21A35FA7" w14:textId="77777777" w:rsidR="00E06936" w:rsidRPr="007C0ACA" w:rsidRDefault="00E06936" w:rsidP="00A90638">
            <w:pPr>
              <w:pStyle w:val="Senseespaiat"/>
              <w:jc w:val="center"/>
            </w:pPr>
            <w:r w:rsidRPr="007C0ACA">
              <w:t>96.4</w:t>
            </w:r>
          </w:p>
        </w:tc>
        <w:tc>
          <w:tcPr>
            <w:tcW w:w="0" w:type="auto"/>
            <w:vMerge w:val="restart"/>
            <w:tcBorders>
              <w:top w:val="single" w:sz="12" w:space="0" w:color="auto"/>
              <w:left w:val="single" w:sz="8" w:space="0" w:color="auto"/>
              <w:bottom w:val="single" w:sz="12" w:space="0" w:color="auto"/>
            </w:tcBorders>
            <w:shd w:val="clear" w:color="auto" w:fill="auto"/>
            <w:tcMar>
              <w:top w:w="12" w:type="dxa"/>
              <w:left w:w="12" w:type="dxa"/>
              <w:bottom w:w="0" w:type="dxa"/>
              <w:right w:w="12" w:type="dxa"/>
            </w:tcMar>
            <w:vAlign w:val="center"/>
            <w:hideMark/>
          </w:tcPr>
          <w:p w14:paraId="13995559" w14:textId="77777777" w:rsidR="00E06936" w:rsidRPr="007C0ACA" w:rsidRDefault="00E06936" w:rsidP="00A90638">
            <w:pPr>
              <w:pStyle w:val="Senseespaiat"/>
              <w:jc w:val="center"/>
            </w:pPr>
            <w:r w:rsidRPr="007C0ACA">
              <w:t>97.0</w:t>
            </w:r>
          </w:p>
        </w:tc>
      </w:tr>
      <w:tr w:rsidR="00E06936" w:rsidRPr="007C0ACA" w14:paraId="73A7CA9A" w14:textId="77777777" w:rsidTr="00A90638">
        <w:trPr>
          <w:trHeight w:val="288"/>
        </w:trPr>
        <w:tc>
          <w:tcPr>
            <w:tcW w:w="0" w:type="auto"/>
            <w:vMerge/>
            <w:tcBorders>
              <w:top w:val="single" w:sz="18" w:space="0" w:color="auto"/>
              <w:right w:val="single" w:sz="12" w:space="0" w:color="auto"/>
            </w:tcBorders>
            <w:vAlign w:val="center"/>
            <w:hideMark/>
          </w:tcPr>
          <w:p w14:paraId="55BC7A9C" w14:textId="77777777" w:rsidR="00E06936" w:rsidRPr="007C0ACA" w:rsidRDefault="00E06936" w:rsidP="00A90638">
            <w:pPr>
              <w:pStyle w:val="Senseespaiat"/>
              <w:jc w:val="center"/>
              <w:rPr>
                <w:b/>
                <w:sz w:val="24"/>
              </w:rP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3AB886D1" w14:textId="77777777" w:rsidR="00E06936" w:rsidRPr="007C0ACA" w:rsidRDefault="00E06936" w:rsidP="00A90638">
            <w:pPr>
              <w:pStyle w:val="Senseespaiat"/>
              <w:jc w:val="center"/>
            </w:pPr>
            <w:r w:rsidRPr="007C0ACA">
              <w:t>98.2</w:t>
            </w:r>
          </w:p>
        </w:tc>
        <w:tc>
          <w:tcPr>
            <w:tcW w:w="0" w:type="auto"/>
            <w:vMerge/>
            <w:tcBorders>
              <w:left w:val="single" w:sz="8" w:space="0" w:color="auto"/>
              <w:right w:val="single" w:sz="12" w:space="0" w:color="auto"/>
            </w:tcBorders>
            <w:vAlign w:val="center"/>
            <w:hideMark/>
          </w:tcPr>
          <w:p w14:paraId="5418D917" w14:textId="77777777" w:rsidR="00E06936" w:rsidRPr="007C0ACA" w:rsidRDefault="00E06936" w:rsidP="00A90638">
            <w:pPr>
              <w:pStyle w:val="Senseespaiat"/>
              <w:jc w:val="cente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584D270A" w14:textId="77777777" w:rsidR="00E06936" w:rsidRPr="007C0ACA" w:rsidRDefault="00E06936" w:rsidP="00A90638">
            <w:pPr>
              <w:pStyle w:val="Senseespaiat"/>
              <w:jc w:val="center"/>
            </w:pPr>
            <w:r w:rsidRPr="007C0ACA">
              <w:t>98.2</w:t>
            </w:r>
          </w:p>
        </w:tc>
        <w:tc>
          <w:tcPr>
            <w:tcW w:w="0" w:type="auto"/>
            <w:vMerge/>
            <w:tcBorders>
              <w:left w:val="single" w:sz="8" w:space="0" w:color="auto"/>
              <w:bottom w:val="single" w:sz="12" w:space="0" w:color="auto"/>
            </w:tcBorders>
            <w:vAlign w:val="center"/>
            <w:hideMark/>
          </w:tcPr>
          <w:p w14:paraId="22DF82C0" w14:textId="77777777" w:rsidR="00E06936" w:rsidRPr="007C0ACA" w:rsidRDefault="00E06936" w:rsidP="00A90638">
            <w:pPr>
              <w:pStyle w:val="Senseespaiat"/>
              <w:jc w:val="center"/>
            </w:pPr>
          </w:p>
        </w:tc>
      </w:tr>
      <w:tr w:rsidR="00E06936" w:rsidRPr="007C0ACA" w14:paraId="1C8087D7" w14:textId="77777777" w:rsidTr="00A90638">
        <w:trPr>
          <w:trHeight w:val="355"/>
        </w:trPr>
        <w:tc>
          <w:tcPr>
            <w:tcW w:w="0" w:type="auto"/>
            <w:vMerge/>
            <w:tcBorders>
              <w:top w:val="single" w:sz="18" w:space="0" w:color="auto"/>
              <w:bottom w:val="single" w:sz="12" w:space="0" w:color="auto"/>
              <w:right w:val="single" w:sz="12" w:space="0" w:color="auto"/>
            </w:tcBorders>
            <w:vAlign w:val="center"/>
            <w:hideMark/>
          </w:tcPr>
          <w:p w14:paraId="07146165" w14:textId="77777777" w:rsidR="00E06936" w:rsidRPr="007C0ACA" w:rsidRDefault="00E06936" w:rsidP="00A90638">
            <w:pPr>
              <w:pStyle w:val="Senseespaiat"/>
              <w:jc w:val="center"/>
              <w:rPr>
                <w:b/>
                <w:sz w:val="24"/>
              </w:rPr>
            </w:pPr>
          </w:p>
        </w:tc>
        <w:tc>
          <w:tcPr>
            <w:tcW w:w="0" w:type="auto"/>
            <w:tcBorders>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33E92573" w14:textId="77777777" w:rsidR="00E06936" w:rsidRPr="007C0ACA" w:rsidRDefault="00E06936" w:rsidP="00A90638">
            <w:pPr>
              <w:pStyle w:val="Senseespaiat"/>
              <w:jc w:val="center"/>
            </w:pPr>
            <w:r w:rsidRPr="007C0ACA">
              <w:t>96.3</w:t>
            </w:r>
          </w:p>
        </w:tc>
        <w:tc>
          <w:tcPr>
            <w:tcW w:w="0" w:type="auto"/>
            <w:vMerge/>
            <w:tcBorders>
              <w:left w:val="single" w:sz="8" w:space="0" w:color="auto"/>
              <w:bottom w:val="single" w:sz="12" w:space="0" w:color="auto"/>
              <w:right w:val="single" w:sz="12" w:space="0" w:color="auto"/>
            </w:tcBorders>
            <w:vAlign w:val="center"/>
            <w:hideMark/>
          </w:tcPr>
          <w:p w14:paraId="124E8ABE" w14:textId="77777777" w:rsidR="00E06936" w:rsidRPr="007C0ACA" w:rsidRDefault="00E06936" w:rsidP="00A90638">
            <w:pPr>
              <w:pStyle w:val="Senseespaiat"/>
              <w:jc w:val="center"/>
            </w:pPr>
          </w:p>
        </w:tc>
        <w:tc>
          <w:tcPr>
            <w:tcW w:w="0" w:type="auto"/>
            <w:tcBorders>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6A2D45F5" w14:textId="77777777" w:rsidR="00E06936" w:rsidRPr="007C0ACA" w:rsidRDefault="00E06936" w:rsidP="00A90638">
            <w:pPr>
              <w:pStyle w:val="Senseespaiat"/>
              <w:jc w:val="center"/>
            </w:pPr>
            <w:r w:rsidRPr="007C0ACA">
              <w:t>96.3</w:t>
            </w:r>
          </w:p>
        </w:tc>
        <w:tc>
          <w:tcPr>
            <w:tcW w:w="0" w:type="auto"/>
            <w:vMerge/>
            <w:tcBorders>
              <w:left w:val="single" w:sz="8" w:space="0" w:color="auto"/>
              <w:bottom w:val="single" w:sz="12" w:space="0" w:color="auto"/>
            </w:tcBorders>
            <w:vAlign w:val="center"/>
            <w:hideMark/>
          </w:tcPr>
          <w:p w14:paraId="65E1A4EA" w14:textId="77777777" w:rsidR="00E06936" w:rsidRPr="007C0ACA" w:rsidRDefault="00E06936" w:rsidP="00A90638">
            <w:pPr>
              <w:pStyle w:val="Senseespaiat"/>
              <w:jc w:val="center"/>
            </w:pPr>
          </w:p>
        </w:tc>
      </w:tr>
      <w:tr w:rsidR="00E06936" w:rsidRPr="007C0ACA" w14:paraId="5FE6CDF8" w14:textId="77777777" w:rsidTr="00A90638">
        <w:trPr>
          <w:trHeight w:val="288"/>
        </w:trPr>
        <w:tc>
          <w:tcPr>
            <w:tcW w:w="0" w:type="auto"/>
            <w:vMerge w:val="restart"/>
            <w:tcBorders>
              <w:top w:val="single" w:sz="12" w:space="0" w:color="auto"/>
              <w:bottom w:val="single" w:sz="18" w:space="0" w:color="auto"/>
              <w:right w:val="single" w:sz="12" w:space="0" w:color="auto"/>
            </w:tcBorders>
            <w:shd w:val="clear" w:color="auto" w:fill="auto"/>
            <w:tcMar>
              <w:top w:w="12" w:type="dxa"/>
              <w:left w:w="12" w:type="dxa"/>
              <w:bottom w:w="0" w:type="dxa"/>
              <w:right w:w="12" w:type="dxa"/>
            </w:tcMar>
            <w:vAlign w:val="center"/>
            <w:hideMark/>
          </w:tcPr>
          <w:p w14:paraId="09E80CFD" w14:textId="77777777" w:rsidR="00E06936" w:rsidRPr="007C0ACA" w:rsidRDefault="00E06936" w:rsidP="00A90638">
            <w:pPr>
              <w:pStyle w:val="Senseespaiat"/>
              <w:jc w:val="center"/>
              <w:rPr>
                <w:b/>
                <w:sz w:val="24"/>
              </w:rPr>
            </w:pPr>
            <w:r w:rsidRPr="007C0ACA">
              <w:rPr>
                <w:b/>
                <w:sz w:val="24"/>
              </w:rPr>
              <w:t>ARG 42 (NH2) - 9R1 155</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2646FD22" w14:textId="77777777" w:rsidR="00E06936" w:rsidRPr="007C0ACA" w:rsidRDefault="00E06936" w:rsidP="00A90638">
            <w:pPr>
              <w:pStyle w:val="Senseespaiat"/>
              <w:jc w:val="center"/>
            </w:pPr>
            <w:r w:rsidRPr="007C0ACA">
              <w:t>95.3</w:t>
            </w:r>
          </w:p>
        </w:tc>
        <w:tc>
          <w:tcPr>
            <w:tcW w:w="0" w:type="auto"/>
            <w:vMerge w:val="restart"/>
            <w:tcBorders>
              <w:top w:val="single" w:sz="12" w:space="0" w:color="auto"/>
              <w:left w:val="single" w:sz="8" w:space="0" w:color="auto"/>
              <w:right w:val="single" w:sz="12" w:space="0" w:color="auto"/>
            </w:tcBorders>
            <w:shd w:val="clear" w:color="auto" w:fill="auto"/>
            <w:tcMar>
              <w:top w:w="12" w:type="dxa"/>
              <w:left w:w="12" w:type="dxa"/>
              <w:bottom w:w="0" w:type="dxa"/>
              <w:right w:w="12" w:type="dxa"/>
            </w:tcMar>
            <w:vAlign w:val="center"/>
            <w:hideMark/>
          </w:tcPr>
          <w:p w14:paraId="0C69D62D" w14:textId="77777777" w:rsidR="00E06936" w:rsidRPr="007C0ACA" w:rsidRDefault="00E06936" w:rsidP="00A90638">
            <w:pPr>
              <w:pStyle w:val="Senseespaiat"/>
              <w:jc w:val="center"/>
            </w:pPr>
            <w:r w:rsidRPr="007C0ACA">
              <w:t>96.4</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534A2123" w14:textId="77777777" w:rsidR="00E06936" w:rsidRPr="007C0ACA" w:rsidRDefault="00E06936" w:rsidP="00A90638">
            <w:pPr>
              <w:pStyle w:val="Senseespaiat"/>
              <w:jc w:val="center"/>
            </w:pPr>
            <w:r w:rsidRPr="007C0ACA">
              <w:t>96.9</w:t>
            </w:r>
          </w:p>
        </w:tc>
        <w:tc>
          <w:tcPr>
            <w:tcW w:w="0" w:type="auto"/>
            <w:vMerge w:val="restart"/>
            <w:tcBorders>
              <w:left w:val="single" w:sz="8" w:space="0" w:color="auto"/>
              <w:bottom w:val="single" w:sz="12" w:space="0" w:color="auto"/>
            </w:tcBorders>
            <w:shd w:val="clear" w:color="auto" w:fill="auto"/>
            <w:tcMar>
              <w:top w:w="12" w:type="dxa"/>
              <w:left w:w="12" w:type="dxa"/>
              <w:bottom w:w="0" w:type="dxa"/>
              <w:right w:w="12" w:type="dxa"/>
            </w:tcMar>
            <w:vAlign w:val="center"/>
            <w:hideMark/>
          </w:tcPr>
          <w:p w14:paraId="5DE61CAC" w14:textId="77777777" w:rsidR="00E06936" w:rsidRPr="007C0ACA" w:rsidRDefault="00E06936" w:rsidP="00A90638">
            <w:pPr>
              <w:pStyle w:val="Senseespaiat"/>
              <w:jc w:val="center"/>
            </w:pPr>
            <w:r w:rsidRPr="007C0ACA">
              <w:t>97.7</w:t>
            </w:r>
          </w:p>
        </w:tc>
      </w:tr>
      <w:tr w:rsidR="00E06936" w:rsidRPr="007C0ACA" w14:paraId="6E47EFBF" w14:textId="77777777" w:rsidTr="00A90638">
        <w:trPr>
          <w:trHeight w:val="288"/>
        </w:trPr>
        <w:tc>
          <w:tcPr>
            <w:tcW w:w="0" w:type="auto"/>
            <w:vMerge/>
            <w:tcBorders>
              <w:bottom w:val="single" w:sz="18" w:space="0" w:color="auto"/>
              <w:right w:val="single" w:sz="12" w:space="0" w:color="auto"/>
            </w:tcBorders>
            <w:vAlign w:val="center"/>
            <w:hideMark/>
          </w:tcPr>
          <w:p w14:paraId="34789AFB" w14:textId="77777777" w:rsidR="00E06936" w:rsidRPr="007C0ACA" w:rsidRDefault="00E06936" w:rsidP="00A90638">
            <w:pPr>
              <w:pStyle w:val="Senseespaiat"/>
              <w:jc w:val="center"/>
              <w:rPr>
                <w:b/>
                <w:sz w:val="24"/>
              </w:rP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11DE5AA4" w14:textId="77777777" w:rsidR="00E06936" w:rsidRPr="007C0ACA" w:rsidRDefault="00E06936" w:rsidP="00A90638">
            <w:pPr>
              <w:pStyle w:val="Senseespaiat"/>
              <w:jc w:val="center"/>
            </w:pPr>
            <w:r w:rsidRPr="007C0ACA">
              <w:t>97.5</w:t>
            </w:r>
          </w:p>
        </w:tc>
        <w:tc>
          <w:tcPr>
            <w:tcW w:w="0" w:type="auto"/>
            <w:vMerge/>
            <w:tcBorders>
              <w:left w:val="single" w:sz="8" w:space="0" w:color="auto"/>
              <w:right w:val="single" w:sz="12" w:space="0" w:color="auto"/>
            </w:tcBorders>
            <w:vAlign w:val="center"/>
            <w:hideMark/>
          </w:tcPr>
          <w:p w14:paraId="1A47F5AF" w14:textId="77777777" w:rsidR="00E06936" w:rsidRPr="007C0ACA" w:rsidRDefault="00E06936" w:rsidP="00A90638">
            <w:pPr>
              <w:pStyle w:val="Senseespaiat"/>
              <w:jc w:val="cente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55A90594" w14:textId="77777777" w:rsidR="00E06936" w:rsidRPr="007C0ACA" w:rsidRDefault="00E06936" w:rsidP="00A90638">
            <w:pPr>
              <w:pStyle w:val="Senseespaiat"/>
              <w:jc w:val="center"/>
            </w:pPr>
            <w:r w:rsidRPr="007C0ACA">
              <w:t>97.7</w:t>
            </w:r>
          </w:p>
        </w:tc>
        <w:tc>
          <w:tcPr>
            <w:tcW w:w="0" w:type="auto"/>
            <w:vMerge/>
            <w:tcBorders>
              <w:left w:val="single" w:sz="8" w:space="0" w:color="auto"/>
              <w:bottom w:val="single" w:sz="12" w:space="0" w:color="auto"/>
            </w:tcBorders>
            <w:vAlign w:val="center"/>
            <w:hideMark/>
          </w:tcPr>
          <w:p w14:paraId="5047D1C9" w14:textId="77777777" w:rsidR="00E06936" w:rsidRPr="007C0ACA" w:rsidRDefault="00E06936" w:rsidP="00A90638">
            <w:pPr>
              <w:pStyle w:val="Senseespaiat"/>
              <w:jc w:val="center"/>
            </w:pPr>
          </w:p>
        </w:tc>
      </w:tr>
      <w:tr w:rsidR="00E06936" w:rsidRPr="007C0ACA" w14:paraId="1ADBFDDC" w14:textId="77777777" w:rsidTr="00A90638">
        <w:trPr>
          <w:trHeight w:val="288"/>
        </w:trPr>
        <w:tc>
          <w:tcPr>
            <w:tcW w:w="0" w:type="auto"/>
            <w:vMerge/>
            <w:tcBorders>
              <w:bottom w:val="single" w:sz="12" w:space="0" w:color="auto"/>
              <w:right w:val="single" w:sz="12" w:space="0" w:color="auto"/>
            </w:tcBorders>
            <w:vAlign w:val="center"/>
            <w:hideMark/>
          </w:tcPr>
          <w:p w14:paraId="58C56986" w14:textId="77777777" w:rsidR="00E06936" w:rsidRPr="007C0ACA" w:rsidRDefault="00E06936" w:rsidP="00A90638">
            <w:pPr>
              <w:pStyle w:val="Senseespaiat"/>
              <w:jc w:val="center"/>
              <w:rPr>
                <w:b/>
                <w:sz w:val="24"/>
              </w:rPr>
            </w:pPr>
          </w:p>
        </w:tc>
        <w:tc>
          <w:tcPr>
            <w:tcW w:w="0" w:type="auto"/>
            <w:tcBorders>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286E0C54" w14:textId="77777777" w:rsidR="00E06936" w:rsidRPr="007C0ACA" w:rsidRDefault="00E06936" w:rsidP="00A90638">
            <w:pPr>
              <w:pStyle w:val="Senseespaiat"/>
              <w:jc w:val="center"/>
            </w:pPr>
            <w:r w:rsidRPr="007C0ACA">
              <w:t>96.3</w:t>
            </w:r>
          </w:p>
        </w:tc>
        <w:tc>
          <w:tcPr>
            <w:tcW w:w="0" w:type="auto"/>
            <w:vMerge/>
            <w:tcBorders>
              <w:left w:val="single" w:sz="8" w:space="0" w:color="auto"/>
              <w:bottom w:val="single" w:sz="12" w:space="0" w:color="auto"/>
              <w:right w:val="single" w:sz="12" w:space="0" w:color="auto"/>
            </w:tcBorders>
            <w:vAlign w:val="center"/>
            <w:hideMark/>
          </w:tcPr>
          <w:p w14:paraId="20DBB368" w14:textId="77777777" w:rsidR="00E06936" w:rsidRPr="007C0ACA" w:rsidRDefault="00E06936" w:rsidP="00A90638">
            <w:pPr>
              <w:pStyle w:val="Senseespaiat"/>
              <w:jc w:val="center"/>
            </w:pPr>
          </w:p>
        </w:tc>
        <w:tc>
          <w:tcPr>
            <w:tcW w:w="0" w:type="auto"/>
            <w:tcBorders>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277E5BCC" w14:textId="77777777" w:rsidR="00E06936" w:rsidRPr="007C0ACA" w:rsidRDefault="00E06936" w:rsidP="00A90638">
            <w:pPr>
              <w:pStyle w:val="Senseespaiat"/>
              <w:jc w:val="center"/>
            </w:pPr>
            <w:r w:rsidRPr="007C0ACA">
              <w:t>98.6</w:t>
            </w:r>
          </w:p>
        </w:tc>
        <w:tc>
          <w:tcPr>
            <w:tcW w:w="0" w:type="auto"/>
            <w:vMerge/>
            <w:tcBorders>
              <w:left w:val="single" w:sz="8" w:space="0" w:color="auto"/>
              <w:bottom w:val="single" w:sz="12" w:space="0" w:color="auto"/>
            </w:tcBorders>
            <w:vAlign w:val="center"/>
            <w:hideMark/>
          </w:tcPr>
          <w:p w14:paraId="359471BC" w14:textId="77777777" w:rsidR="00E06936" w:rsidRPr="007C0ACA" w:rsidRDefault="00E06936" w:rsidP="00A90638">
            <w:pPr>
              <w:pStyle w:val="Senseespaiat"/>
              <w:jc w:val="center"/>
            </w:pPr>
          </w:p>
        </w:tc>
      </w:tr>
      <w:tr w:rsidR="00E06936" w:rsidRPr="007C0ACA" w14:paraId="65072AF2" w14:textId="77777777" w:rsidTr="00A90638">
        <w:trPr>
          <w:trHeight w:val="288"/>
        </w:trPr>
        <w:tc>
          <w:tcPr>
            <w:tcW w:w="0" w:type="auto"/>
            <w:vMerge w:val="restart"/>
            <w:tcBorders>
              <w:top w:val="single" w:sz="12" w:space="0" w:color="auto"/>
              <w:bottom w:val="single" w:sz="18" w:space="0" w:color="auto"/>
              <w:right w:val="single" w:sz="12" w:space="0" w:color="auto"/>
            </w:tcBorders>
            <w:shd w:val="clear" w:color="auto" w:fill="auto"/>
            <w:tcMar>
              <w:top w:w="12" w:type="dxa"/>
              <w:left w:w="12" w:type="dxa"/>
              <w:bottom w:w="0" w:type="dxa"/>
              <w:right w:w="12" w:type="dxa"/>
            </w:tcMar>
            <w:vAlign w:val="center"/>
            <w:hideMark/>
          </w:tcPr>
          <w:p w14:paraId="04A69C1F" w14:textId="77777777" w:rsidR="00E06936" w:rsidRPr="007C0ACA" w:rsidRDefault="00E06936" w:rsidP="00A90638">
            <w:pPr>
              <w:pStyle w:val="Senseespaiat"/>
              <w:jc w:val="center"/>
              <w:rPr>
                <w:b/>
                <w:sz w:val="24"/>
              </w:rPr>
            </w:pPr>
            <w:r w:rsidRPr="007C0ACA">
              <w:rPr>
                <w:b/>
                <w:sz w:val="24"/>
              </w:rPr>
              <w:t>ARG 137 (NE) - 9R1 155</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06BFF169" w14:textId="77777777" w:rsidR="00E06936" w:rsidRPr="007C0ACA" w:rsidRDefault="00E06936" w:rsidP="00A90638">
            <w:pPr>
              <w:pStyle w:val="Senseespaiat"/>
              <w:jc w:val="center"/>
            </w:pPr>
            <w:r w:rsidRPr="007C0ACA">
              <w:t>73.9</w:t>
            </w:r>
          </w:p>
        </w:tc>
        <w:tc>
          <w:tcPr>
            <w:tcW w:w="0" w:type="auto"/>
            <w:vMerge w:val="restart"/>
            <w:tcBorders>
              <w:top w:val="single" w:sz="12" w:space="0" w:color="auto"/>
              <w:left w:val="single" w:sz="8" w:space="0" w:color="auto"/>
              <w:right w:val="single" w:sz="12" w:space="0" w:color="auto"/>
            </w:tcBorders>
            <w:shd w:val="clear" w:color="auto" w:fill="auto"/>
            <w:tcMar>
              <w:top w:w="12" w:type="dxa"/>
              <w:left w:w="12" w:type="dxa"/>
              <w:bottom w:w="0" w:type="dxa"/>
              <w:right w:w="12" w:type="dxa"/>
            </w:tcMar>
            <w:vAlign w:val="center"/>
            <w:hideMark/>
          </w:tcPr>
          <w:p w14:paraId="0C9CF9B4" w14:textId="77777777" w:rsidR="00E06936" w:rsidRPr="007C0ACA" w:rsidRDefault="00E06936" w:rsidP="00A90638">
            <w:pPr>
              <w:pStyle w:val="Senseespaiat"/>
              <w:jc w:val="center"/>
            </w:pPr>
            <w:r w:rsidRPr="007C0ACA">
              <w:t>79.6</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7D241679" w14:textId="77777777" w:rsidR="00E06936" w:rsidRPr="007C0ACA" w:rsidRDefault="00E06936" w:rsidP="00A90638">
            <w:pPr>
              <w:pStyle w:val="Senseespaiat"/>
              <w:jc w:val="center"/>
            </w:pPr>
            <w:r w:rsidRPr="007C0ACA">
              <w:t>88.4</w:t>
            </w:r>
          </w:p>
        </w:tc>
        <w:tc>
          <w:tcPr>
            <w:tcW w:w="0" w:type="auto"/>
            <w:vMerge w:val="restart"/>
            <w:tcBorders>
              <w:left w:val="single" w:sz="8" w:space="0" w:color="auto"/>
              <w:bottom w:val="single" w:sz="12" w:space="0" w:color="auto"/>
            </w:tcBorders>
            <w:shd w:val="clear" w:color="auto" w:fill="auto"/>
            <w:tcMar>
              <w:top w:w="12" w:type="dxa"/>
              <w:left w:w="12" w:type="dxa"/>
              <w:bottom w:w="0" w:type="dxa"/>
              <w:right w:w="12" w:type="dxa"/>
            </w:tcMar>
            <w:vAlign w:val="center"/>
            <w:hideMark/>
          </w:tcPr>
          <w:p w14:paraId="6C7F26FA" w14:textId="77777777" w:rsidR="00E06936" w:rsidRPr="007C0ACA" w:rsidRDefault="00E06936" w:rsidP="00A90638">
            <w:pPr>
              <w:pStyle w:val="Senseespaiat"/>
              <w:jc w:val="center"/>
            </w:pPr>
            <w:r w:rsidRPr="007C0ACA">
              <w:t>84.6</w:t>
            </w:r>
          </w:p>
        </w:tc>
      </w:tr>
      <w:tr w:rsidR="00E06936" w:rsidRPr="007C0ACA" w14:paraId="0DECB2FE" w14:textId="77777777" w:rsidTr="00A90638">
        <w:trPr>
          <w:trHeight w:val="288"/>
        </w:trPr>
        <w:tc>
          <w:tcPr>
            <w:tcW w:w="0" w:type="auto"/>
            <w:vMerge/>
            <w:tcBorders>
              <w:bottom w:val="single" w:sz="18" w:space="0" w:color="auto"/>
              <w:right w:val="single" w:sz="12" w:space="0" w:color="auto"/>
            </w:tcBorders>
            <w:vAlign w:val="center"/>
            <w:hideMark/>
          </w:tcPr>
          <w:p w14:paraId="5F0775EE" w14:textId="77777777" w:rsidR="00E06936" w:rsidRPr="007C0ACA" w:rsidRDefault="00E06936" w:rsidP="00A90638">
            <w:pPr>
              <w:pStyle w:val="Senseespaiat"/>
              <w:jc w:val="center"/>
              <w:rPr>
                <w:b/>
                <w:sz w:val="24"/>
              </w:rP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3C441A81" w14:textId="77777777" w:rsidR="00E06936" w:rsidRPr="007C0ACA" w:rsidRDefault="00E06936" w:rsidP="00A90638">
            <w:pPr>
              <w:pStyle w:val="Senseespaiat"/>
              <w:jc w:val="center"/>
            </w:pPr>
            <w:r w:rsidRPr="007C0ACA">
              <w:t>92.7</w:t>
            </w:r>
          </w:p>
        </w:tc>
        <w:tc>
          <w:tcPr>
            <w:tcW w:w="0" w:type="auto"/>
            <w:vMerge/>
            <w:tcBorders>
              <w:left w:val="single" w:sz="8" w:space="0" w:color="auto"/>
              <w:right w:val="single" w:sz="12" w:space="0" w:color="auto"/>
            </w:tcBorders>
            <w:vAlign w:val="center"/>
            <w:hideMark/>
          </w:tcPr>
          <w:p w14:paraId="1BB9A80C" w14:textId="77777777" w:rsidR="00E06936" w:rsidRPr="007C0ACA" w:rsidRDefault="00E06936" w:rsidP="00A90638">
            <w:pPr>
              <w:pStyle w:val="Senseespaiat"/>
              <w:jc w:val="cente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3C709E64" w14:textId="77777777" w:rsidR="00E06936" w:rsidRPr="007C0ACA" w:rsidRDefault="00E06936" w:rsidP="00A90638">
            <w:pPr>
              <w:pStyle w:val="Senseespaiat"/>
              <w:jc w:val="center"/>
            </w:pPr>
            <w:r w:rsidRPr="007C0ACA">
              <w:t>87.9</w:t>
            </w:r>
          </w:p>
        </w:tc>
        <w:tc>
          <w:tcPr>
            <w:tcW w:w="0" w:type="auto"/>
            <w:vMerge/>
            <w:tcBorders>
              <w:left w:val="single" w:sz="8" w:space="0" w:color="auto"/>
              <w:bottom w:val="single" w:sz="12" w:space="0" w:color="auto"/>
            </w:tcBorders>
            <w:vAlign w:val="center"/>
            <w:hideMark/>
          </w:tcPr>
          <w:p w14:paraId="4779277D" w14:textId="77777777" w:rsidR="00E06936" w:rsidRPr="007C0ACA" w:rsidRDefault="00E06936" w:rsidP="00A90638">
            <w:pPr>
              <w:pStyle w:val="Senseespaiat"/>
              <w:jc w:val="center"/>
            </w:pPr>
          </w:p>
        </w:tc>
      </w:tr>
      <w:tr w:rsidR="00E06936" w:rsidRPr="007C0ACA" w14:paraId="1A535D0D" w14:textId="77777777" w:rsidTr="00A90638">
        <w:trPr>
          <w:trHeight w:val="288"/>
        </w:trPr>
        <w:tc>
          <w:tcPr>
            <w:tcW w:w="0" w:type="auto"/>
            <w:vMerge/>
            <w:tcBorders>
              <w:bottom w:val="single" w:sz="12" w:space="0" w:color="auto"/>
              <w:right w:val="single" w:sz="12" w:space="0" w:color="auto"/>
            </w:tcBorders>
            <w:vAlign w:val="center"/>
            <w:hideMark/>
          </w:tcPr>
          <w:p w14:paraId="4C9B5FD0" w14:textId="77777777" w:rsidR="00E06936" w:rsidRPr="007C0ACA" w:rsidRDefault="00E06936" w:rsidP="00A90638">
            <w:pPr>
              <w:pStyle w:val="Senseespaiat"/>
              <w:jc w:val="center"/>
              <w:rPr>
                <w:b/>
                <w:sz w:val="24"/>
              </w:rPr>
            </w:pPr>
          </w:p>
        </w:tc>
        <w:tc>
          <w:tcPr>
            <w:tcW w:w="0" w:type="auto"/>
            <w:tcBorders>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7FB78879" w14:textId="77777777" w:rsidR="00E06936" w:rsidRPr="007C0ACA" w:rsidRDefault="00E06936" w:rsidP="00A90638">
            <w:pPr>
              <w:pStyle w:val="Senseespaiat"/>
              <w:jc w:val="center"/>
            </w:pPr>
            <w:r w:rsidRPr="007C0ACA">
              <w:t>72.1</w:t>
            </w:r>
          </w:p>
        </w:tc>
        <w:tc>
          <w:tcPr>
            <w:tcW w:w="0" w:type="auto"/>
            <w:vMerge/>
            <w:tcBorders>
              <w:left w:val="single" w:sz="8" w:space="0" w:color="auto"/>
              <w:bottom w:val="single" w:sz="12" w:space="0" w:color="auto"/>
              <w:right w:val="single" w:sz="12" w:space="0" w:color="auto"/>
            </w:tcBorders>
            <w:vAlign w:val="center"/>
            <w:hideMark/>
          </w:tcPr>
          <w:p w14:paraId="3EFB88F6" w14:textId="77777777" w:rsidR="00E06936" w:rsidRPr="007C0ACA" w:rsidRDefault="00E06936" w:rsidP="00A90638">
            <w:pPr>
              <w:pStyle w:val="Senseespaiat"/>
              <w:jc w:val="center"/>
            </w:pPr>
          </w:p>
        </w:tc>
        <w:tc>
          <w:tcPr>
            <w:tcW w:w="0" w:type="auto"/>
            <w:tcBorders>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52C21AB6" w14:textId="77777777" w:rsidR="00E06936" w:rsidRPr="007C0ACA" w:rsidRDefault="00E06936" w:rsidP="00A90638">
            <w:pPr>
              <w:pStyle w:val="Senseespaiat"/>
              <w:jc w:val="center"/>
            </w:pPr>
            <w:r w:rsidRPr="007C0ACA">
              <w:t>77.5</w:t>
            </w:r>
          </w:p>
        </w:tc>
        <w:tc>
          <w:tcPr>
            <w:tcW w:w="0" w:type="auto"/>
            <w:vMerge/>
            <w:tcBorders>
              <w:left w:val="single" w:sz="8" w:space="0" w:color="auto"/>
              <w:bottom w:val="single" w:sz="12" w:space="0" w:color="auto"/>
            </w:tcBorders>
            <w:vAlign w:val="center"/>
            <w:hideMark/>
          </w:tcPr>
          <w:p w14:paraId="7B878DAF" w14:textId="77777777" w:rsidR="00E06936" w:rsidRPr="007C0ACA" w:rsidRDefault="00E06936" w:rsidP="00A90638">
            <w:pPr>
              <w:pStyle w:val="Senseespaiat"/>
              <w:jc w:val="center"/>
            </w:pPr>
          </w:p>
        </w:tc>
      </w:tr>
      <w:tr w:rsidR="00E06936" w:rsidRPr="007C0ACA" w14:paraId="1B8283CC" w14:textId="77777777" w:rsidTr="00A90638">
        <w:trPr>
          <w:trHeight w:val="288"/>
        </w:trPr>
        <w:tc>
          <w:tcPr>
            <w:tcW w:w="0" w:type="auto"/>
            <w:vMerge w:val="restart"/>
            <w:tcBorders>
              <w:top w:val="single" w:sz="12" w:space="0" w:color="auto"/>
              <w:bottom w:val="single" w:sz="18" w:space="0" w:color="auto"/>
              <w:right w:val="single" w:sz="12" w:space="0" w:color="auto"/>
            </w:tcBorders>
            <w:shd w:val="clear" w:color="auto" w:fill="auto"/>
            <w:tcMar>
              <w:top w:w="12" w:type="dxa"/>
              <w:left w:w="12" w:type="dxa"/>
              <w:bottom w:w="0" w:type="dxa"/>
              <w:right w:w="12" w:type="dxa"/>
            </w:tcMar>
            <w:vAlign w:val="center"/>
            <w:hideMark/>
          </w:tcPr>
          <w:p w14:paraId="0B25738C" w14:textId="77777777" w:rsidR="00E06936" w:rsidRPr="007C0ACA" w:rsidRDefault="00E06936" w:rsidP="00A90638">
            <w:pPr>
              <w:pStyle w:val="Senseespaiat"/>
              <w:jc w:val="center"/>
              <w:rPr>
                <w:b/>
                <w:sz w:val="24"/>
              </w:rPr>
            </w:pPr>
            <w:r w:rsidRPr="007C0ACA">
              <w:rPr>
                <w:b/>
                <w:sz w:val="24"/>
              </w:rPr>
              <w:t>ARG 137 (NH2) - 9R1 155</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36CE81B3" w14:textId="77777777" w:rsidR="00E06936" w:rsidRPr="007C0ACA" w:rsidRDefault="00E06936" w:rsidP="00A90638">
            <w:pPr>
              <w:pStyle w:val="Senseespaiat"/>
              <w:jc w:val="center"/>
            </w:pPr>
            <w:r w:rsidRPr="007C0ACA">
              <w:t>92.3</w:t>
            </w:r>
          </w:p>
        </w:tc>
        <w:tc>
          <w:tcPr>
            <w:tcW w:w="0" w:type="auto"/>
            <w:vMerge w:val="restart"/>
            <w:tcBorders>
              <w:top w:val="single" w:sz="12" w:space="0" w:color="auto"/>
              <w:left w:val="single" w:sz="8" w:space="0" w:color="auto"/>
              <w:right w:val="single" w:sz="12" w:space="0" w:color="auto"/>
            </w:tcBorders>
            <w:shd w:val="clear" w:color="auto" w:fill="auto"/>
            <w:tcMar>
              <w:top w:w="12" w:type="dxa"/>
              <w:left w:w="12" w:type="dxa"/>
              <w:bottom w:w="0" w:type="dxa"/>
              <w:right w:w="12" w:type="dxa"/>
            </w:tcMar>
            <w:vAlign w:val="center"/>
            <w:hideMark/>
          </w:tcPr>
          <w:p w14:paraId="2B528094" w14:textId="77777777" w:rsidR="00E06936" w:rsidRPr="007C0ACA" w:rsidRDefault="00E06936" w:rsidP="00A90638">
            <w:pPr>
              <w:pStyle w:val="Senseespaiat"/>
              <w:jc w:val="center"/>
            </w:pPr>
            <w:r w:rsidRPr="007C0ACA">
              <w:t>69.4</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171B6B5C" w14:textId="77777777" w:rsidR="00E06936" w:rsidRPr="007C0ACA" w:rsidRDefault="00E06936" w:rsidP="00A90638">
            <w:pPr>
              <w:pStyle w:val="Senseespaiat"/>
              <w:jc w:val="center"/>
            </w:pPr>
            <w:r w:rsidRPr="007C0ACA">
              <w:t>70.9</w:t>
            </w:r>
          </w:p>
        </w:tc>
        <w:tc>
          <w:tcPr>
            <w:tcW w:w="0" w:type="auto"/>
            <w:vMerge w:val="restart"/>
            <w:tcBorders>
              <w:left w:val="single" w:sz="8" w:space="0" w:color="auto"/>
              <w:bottom w:val="single" w:sz="12" w:space="0" w:color="auto"/>
            </w:tcBorders>
            <w:shd w:val="clear" w:color="auto" w:fill="auto"/>
            <w:tcMar>
              <w:top w:w="12" w:type="dxa"/>
              <w:left w:w="12" w:type="dxa"/>
              <w:bottom w:w="0" w:type="dxa"/>
              <w:right w:w="12" w:type="dxa"/>
            </w:tcMar>
            <w:vAlign w:val="center"/>
            <w:hideMark/>
          </w:tcPr>
          <w:p w14:paraId="11F267BD" w14:textId="77777777" w:rsidR="00E06936" w:rsidRPr="007C0ACA" w:rsidRDefault="00E06936" w:rsidP="00A90638">
            <w:pPr>
              <w:pStyle w:val="Senseespaiat"/>
              <w:jc w:val="center"/>
            </w:pPr>
            <w:r w:rsidRPr="007C0ACA">
              <w:t>83.8</w:t>
            </w:r>
          </w:p>
        </w:tc>
      </w:tr>
      <w:tr w:rsidR="00E06936" w:rsidRPr="007C0ACA" w14:paraId="40730B88" w14:textId="77777777" w:rsidTr="00A90638">
        <w:trPr>
          <w:trHeight w:val="288"/>
        </w:trPr>
        <w:tc>
          <w:tcPr>
            <w:tcW w:w="0" w:type="auto"/>
            <w:vMerge/>
            <w:tcBorders>
              <w:bottom w:val="single" w:sz="18" w:space="0" w:color="auto"/>
              <w:right w:val="single" w:sz="12" w:space="0" w:color="auto"/>
            </w:tcBorders>
            <w:vAlign w:val="center"/>
            <w:hideMark/>
          </w:tcPr>
          <w:p w14:paraId="7906DD2E" w14:textId="77777777" w:rsidR="00E06936" w:rsidRPr="007C0ACA" w:rsidRDefault="00E06936" w:rsidP="00A90638">
            <w:pPr>
              <w:pStyle w:val="Senseespaiat"/>
              <w:jc w:val="center"/>
              <w:rPr>
                <w:b/>
                <w:sz w:val="24"/>
              </w:rP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17603722" w14:textId="77777777" w:rsidR="00E06936" w:rsidRPr="007C0ACA" w:rsidRDefault="00E06936" w:rsidP="00A90638">
            <w:pPr>
              <w:pStyle w:val="Senseespaiat"/>
              <w:jc w:val="center"/>
            </w:pPr>
            <w:r w:rsidRPr="007C0ACA">
              <w:t>30.5</w:t>
            </w:r>
          </w:p>
        </w:tc>
        <w:tc>
          <w:tcPr>
            <w:tcW w:w="0" w:type="auto"/>
            <w:vMerge/>
            <w:tcBorders>
              <w:left w:val="single" w:sz="8" w:space="0" w:color="auto"/>
              <w:right w:val="single" w:sz="12" w:space="0" w:color="auto"/>
            </w:tcBorders>
            <w:vAlign w:val="center"/>
            <w:hideMark/>
          </w:tcPr>
          <w:p w14:paraId="612FCBEC" w14:textId="77777777" w:rsidR="00E06936" w:rsidRPr="007C0ACA" w:rsidRDefault="00E06936" w:rsidP="00A90638">
            <w:pPr>
              <w:pStyle w:val="Senseespaiat"/>
              <w:jc w:val="cente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01AEFBE6" w14:textId="77777777" w:rsidR="00E06936" w:rsidRPr="007C0ACA" w:rsidRDefault="00E06936" w:rsidP="00A90638">
            <w:pPr>
              <w:pStyle w:val="Senseespaiat"/>
              <w:jc w:val="center"/>
            </w:pPr>
            <w:r w:rsidRPr="007C0ACA">
              <w:t>88.1</w:t>
            </w:r>
          </w:p>
        </w:tc>
        <w:tc>
          <w:tcPr>
            <w:tcW w:w="0" w:type="auto"/>
            <w:vMerge/>
            <w:tcBorders>
              <w:left w:val="single" w:sz="8" w:space="0" w:color="auto"/>
              <w:bottom w:val="single" w:sz="12" w:space="0" w:color="auto"/>
            </w:tcBorders>
            <w:vAlign w:val="center"/>
            <w:hideMark/>
          </w:tcPr>
          <w:p w14:paraId="31024DE5" w14:textId="77777777" w:rsidR="00E06936" w:rsidRPr="007C0ACA" w:rsidRDefault="00E06936" w:rsidP="00A90638">
            <w:pPr>
              <w:pStyle w:val="Senseespaiat"/>
              <w:jc w:val="center"/>
            </w:pPr>
          </w:p>
        </w:tc>
      </w:tr>
      <w:tr w:rsidR="00E06936" w:rsidRPr="007C0ACA" w14:paraId="37A0D6CC" w14:textId="77777777" w:rsidTr="00A90638">
        <w:trPr>
          <w:trHeight w:val="288"/>
        </w:trPr>
        <w:tc>
          <w:tcPr>
            <w:tcW w:w="0" w:type="auto"/>
            <w:vMerge/>
            <w:tcBorders>
              <w:bottom w:val="single" w:sz="12" w:space="0" w:color="auto"/>
              <w:right w:val="single" w:sz="12" w:space="0" w:color="auto"/>
            </w:tcBorders>
            <w:vAlign w:val="center"/>
            <w:hideMark/>
          </w:tcPr>
          <w:p w14:paraId="188E39E0" w14:textId="77777777" w:rsidR="00E06936" w:rsidRPr="007C0ACA" w:rsidRDefault="00E06936" w:rsidP="00A90638">
            <w:pPr>
              <w:pStyle w:val="Senseespaiat"/>
              <w:jc w:val="center"/>
              <w:rPr>
                <w:b/>
                <w:sz w:val="24"/>
              </w:rPr>
            </w:pPr>
          </w:p>
        </w:tc>
        <w:tc>
          <w:tcPr>
            <w:tcW w:w="0" w:type="auto"/>
            <w:tcBorders>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234EF535" w14:textId="77777777" w:rsidR="00E06936" w:rsidRPr="007C0ACA" w:rsidRDefault="00E06936" w:rsidP="00A90638">
            <w:pPr>
              <w:pStyle w:val="Senseespaiat"/>
              <w:jc w:val="center"/>
            </w:pPr>
            <w:r w:rsidRPr="007C0ACA">
              <w:t>85.3</w:t>
            </w:r>
          </w:p>
        </w:tc>
        <w:tc>
          <w:tcPr>
            <w:tcW w:w="0" w:type="auto"/>
            <w:vMerge/>
            <w:tcBorders>
              <w:left w:val="single" w:sz="8" w:space="0" w:color="auto"/>
              <w:bottom w:val="single" w:sz="12" w:space="0" w:color="auto"/>
              <w:right w:val="single" w:sz="12" w:space="0" w:color="auto"/>
            </w:tcBorders>
            <w:vAlign w:val="center"/>
            <w:hideMark/>
          </w:tcPr>
          <w:p w14:paraId="2721B9E3" w14:textId="77777777" w:rsidR="00E06936" w:rsidRPr="007C0ACA" w:rsidRDefault="00E06936" w:rsidP="00A90638">
            <w:pPr>
              <w:pStyle w:val="Senseespaiat"/>
              <w:jc w:val="center"/>
            </w:pPr>
          </w:p>
        </w:tc>
        <w:tc>
          <w:tcPr>
            <w:tcW w:w="0" w:type="auto"/>
            <w:tcBorders>
              <w:left w:val="single" w:sz="12" w:space="0" w:color="auto"/>
              <w:bottom w:val="single" w:sz="12" w:space="0" w:color="auto"/>
              <w:right w:val="single" w:sz="8" w:space="0" w:color="auto"/>
            </w:tcBorders>
            <w:shd w:val="clear" w:color="auto" w:fill="auto"/>
            <w:tcMar>
              <w:top w:w="12" w:type="dxa"/>
              <w:left w:w="12" w:type="dxa"/>
              <w:bottom w:w="0" w:type="dxa"/>
              <w:right w:w="12" w:type="dxa"/>
            </w:tcMar>
            <w:vAlign w:val="center"/>
            <w:hideMark/>
          </w:tcPr>
          <w:p w14:paraId="53E505D1" w14:textId="77777777" w:rsidR="00E06936" w:rsidRPr="007C0ACA" w:rsidRDefault="00E06936" w:rsidP="00A90638">
            <w:pPr>
              <w:pStyle w:val="Senseespaiat"/>
              <w:jc w:val="center"/>
            </w:pPr>
            <w:r w:rsidRPr="007C0ACA">
              <w:t>92.5</w:t>
            </w:r>
          </w:p>
        </w:tc>
        <w:tc>
          <w:tcPr>
            <w:tcW w:w="0" w:type="auto"/>
            <w:vMerge/>
            <w:tcBorders>
              <w:left w:val="single" w:sz="8" w:space="0" w:color="auto"/>
              <w:bottom w:val="single" w:sz="12" w:space="0" w:color="auto"/>
            </w:tcBorders>
            <w:vAlign w:val="center"/>
            <w:hideMark/>
          </w:tcPr>
          <w:p w14:paraId="141D004A" w14:textId="77777777" w:rsidR="00E06936" w:rsidRPr="007C0ACA" w:rsidRDefault="00E06936" w:rsidP="00A90638">
            <w:pPr>
              <w:pStyle w:val="Senseespaiat"/>
              <w:jc w:val="center"/>
            </w:pPr>
          </w:p>
        </w:tc>
      </w:tr>
      <w:tr w:rsidR="00E06936" w:rsidRPr="007C0ACA" w14:paraId="01E9F116" w14:textId="77777777" w:rsidTr="00A90638">
        <w:trPr>
          <w:trHeight w:val="288"/>
        </w:trPr>
        <w:tc>
          <w:tcPr>
            <w:tcW w:w="0" w:type="auto"/>
            <w:vMerge w:val="restart"/>
            <w:tcBorders>
              <w:top w:val="single" w:sz="12" w:space="0" w:color="auto"/>
              <w:bottom w:val="single" w:sz="18" w:space="0" w:color="auto"/>
              <w:right w:val="single" w:sz="12" w:space="0" w:color="auto"/>
            </w:tcBorders>
            <w:shd w:val="clear" w:color="auto" w:fill="auto"/>
            <w:tcMar>
              <w:top w:w="12" w:type="dxa"/>
              <w:left w:w="12" w:type="dxa"/>
              <w:bottom w:w="0" w:type="dxa"/>
              <w:right w:w="12" w:type="dxa"/>
            </w:tcMar>
            <w:vAlign w:val="center"/>
            <w:hideMark/>
          </w:tcPr>
          <w:p w14:paraId="305D27A0" w14:textId="77777777" w:rsidR="00E06936" w:rsidRPr="007C0ACA" w:rsidRDefault="00E06936" w:rsidP="00A90638">
            <w:pPr>
              <w:pStyle w:val="Senseespaiat"/>
              <w:jc w:val="center"/>
              <w:rPr>
                <w:b/>
                <w:sz w:val="24"/>
              </w:rPr>
            </w:pPr>
            <w:r w:rsidRPr="007C0ACA">
              <w:rPr>
                <w:b/>
                <w:sz w:val="24"/>
              </w:rPr>
              <w:t>ASN 86 (ND2) - 9R1 155</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00C604F6" w14:textId="77777777" w:rsidR="00E06936" w:rsidRPr="007C0ACA" w:rsidRDefault="00E06936" w:rsidP="00A90638">
            <w:pPr>
              <w:pStyle w:val="Senseespaiat"/>
              <w:jc w:val="center"/>
            </w:pPr>
            <w:r w:rsidRPr="007C0ACA">
              <w:t>75.0</w:t>
            </w:r>
          </w:p>
        </w:tc>
        <w:tc>
          <w:tcPr>
            <w:tcW w:w="0" w:type="auto"/>
            <w:vMerge w:val="restart"/>
            <w:tcBorders>
              <w:top w:val="single" w:sz="12" w:space="0" w:color="auto"/>
              <w:left w:val="single" w:sz="8" w:space="0" w:color="auto"/>
              <w:bottom w:val="single" w:sz="18" w:space="0" w:color="auto"/>
              <w:right w:val="single" w:sz="12" w:space="0" w:color="auto"/>
            </w:tcBorders>
            <w:shd w:val="clear" w:color="auto" w:fill="auto"/>
            <w:tcMar>
              <w:top w:w="12" w:type="dxa"/>
              <w:left w:w="12" w:type="dxa"/>
              <w:bottom w:w="0" w:type="dxa"/>
              <w:right w:w="12" w:type="dxa"/>
            </w:tcMar>
            <w:vAlign w:val="center"/>
            <w:hideMark/>
          </w:tcPr>
          <w:p w14:paraId="47B9110E" w14:textId="77777777" w:rsidR="00E06936" w:rsidRPr="007C0ACA" w:rsidRDefault="00E06936" w:rsidP="00A90638">
            <w:pPr>
              <w:pStyle w:val="Senseespaiat"/>
              <w:jc w:val="center"/>
            </w:pPr>
            <w:r w:rsidRPr="007C0ACA">
              <w:t>77.3</w:t>
            </w:r>
          </w:p>
        </w:tc>
        <w:tc>
          <w:tcPr>
            <w:tcW w:w="0" w:type="auto"/>
            <w:tcBorders>
              <w:top w:val="single" w:sz="12" w:space="0" w:color="auto"/>
              <w:left w:val="single" w:sz="12" w:space="0" w:color="auto"/>
              <w:right w:val="single" w:sz="8" w:space="0" w:color="auto"/>
            </w:tcBorders>
            <w:shd w:val="clear" w:color="auto" w:fill="auto"/>
            <w:tcMar>
              <w:top w:w="12" w:type="dxa"/>
              <w:left w:w="12" w:type="dxa"/>
              <w:bottom w:w="0" w:type="dxa"/>
              <w:right w:w="12" w:type="dxa"/>
            </w:tcMar>
            <w:vAlign w:val="center"/>
            <w:hideMark/>
          </w:tcPr>
          <w:p w14:paraId="21D02F10" w14:textId="77777777" w:rsidR="00E06936" w:rsidRPr="007C0ACA" w:rsidRDefault="00E06936" w:rsidP="00A90638">
            <w:pPr>
              <w:pStyle w:val="Senseespaiat"/>
              <w:jc w:val="center"/>
            </w:pPr>
            <w:r w:rsidRPr="007C0ACA">
              <w:t>0</w:t>
            </w:r>
          </w:p>
        </w:tc>
        <w:tc>
          <w:tcPr>
            <w:tcW w:w="0" w:type="auto"/>
            <w:vMerge w:val="restart"/>
            <w:tcBorders>
              <w:top w:val="single" w:sz="12" w:space="0" w:color="auto"/>
              <w:left w:val="single" w:sz="8" w:space="0" w:color="auto"/>
              <w:bottom w:val="single" w:sz="18" w:space="0" w:color="auto"/>
            </w:tcBorders>
            <w:shd w:val="clear" w:color="auto" w:fill="auto"/>
            <w:tcMar>
              <w:top w:w="12" w:type="dxa"/>
              <w:left w:w="12" w:type="dxa"/>
              <w:bottom w:w="0" w:type="dxa"/>
              <w:right w:w="12" w:type="dxa"/>
            </w:tcMar>
            <w:vAlign w:val="center"/>
            <w:hideMark/>
          </w:tcPr>
          <w:p w14:paraId="4AAA4A1C" w14:textId="77777777" w:rsidR="00E06936" w:rsidRPr="007C0ACA" w:rsidRDefault="00E06936" w:rsidP="00A90638">
            <w:pPr>
              <w:pStyle w:val="Senseespaiat"/>
              <w:jc w:val="center"/>
            </w:pPr>
            <w:r w:rsidRPr="007C0ACA">
              <w:t>0</w:t>
            </w:r>
          </w:p>
        </w:tc>
      </w:tr>
      <w:tr w:rsidR="00E06936" w:rsidRPr="007C0ACA" w14:paraId="29B29955" w14:textId="77777777" w:rsidTr="00A90638">
        <w:trPr>
          <w:trHeight w:val="288"/>
        </w:trPr>
        <w:tc>
          <w:tcPr>
            <w:tcW w:w="0" w:type="auto"/>
            <w:vMerge/>
            <w:tcBorders>
              <w:bottom w:val="single" w:sz="18" w:space="0" w:color="auto"/>
              <w:right w:val="single" w:sz="12" w:space="0" w:color="auto"/>
            </w:tcBorders>
            <w:vAlign w:val="center"/>
            <w:hideMark/>
          </w:tcPr>
          <w:p w14:paraId="06D29577" w14:textId="77777777" w:rsidR="00E06936" w:rsidRPr="007C0ACA" w:rsidRDefault="00E06936" w:rsidP="00A90638">
            <w:pPr>
              <w:pStyle w:val="Senseespaiat"/>
              <w:jc w:val="center"/>
              <w:rPr>
                <w:sz w:val="24"/>
              </w:rP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57BC99BF" w14:textId="77777777" w:rsidR="00E06936" w:rsidRPr="007C0ACA" w:rsidRDefault="00E06936" w:rsidP="00A90638">
            <w:pPr>
              <w:pStyle w:val="Senseespaiat"/>
              <w:jc w:val="center"/>
            </w:pPr>
            <w:r w:rsidRPr="007C0ACA">
              <w:t>79.5</w:t>
            </w:r>
          </w:p>
        </w:tc>
        <w:tc>
          <w:tcPr>
            <w:tcW w:w="0" w:type="auto"/>
            <w:vMerge/>
            <w:tcBorders>
              <w:left w:val="single" w:sz="8" w:space="0" w:color="auto"/>
              <w:bottom w:val="single" w:sz="18" w:space="0" w:color="auto"/>
              <w:right w:val="single" w:sz="12" w:space="0" w:color="auto"/>
            </w:tcBorders>
            <w:vAlign w:val="center"/>
            <w:hideMark/>
          </w:tcPr>
          <w:p w14:paraId="796328F6" w14:textId="77777777" w:rsidR="00E06936" w:rsidRPr="007C0ACA" w:rsidRDefault="00E06936" w:rsidP="00A90638">
            <w:pPr>
              <w:pStyle w:val="Senseespaiat"/>
              <w:jc w:val="center"/>
              <w:rPr>
                <w:sz w:val="24"/>
              </w:rPr>
            </w:pPr>
          </w:p>
        </w:tc>
        <w:tc>
          <w:tcPr>
            <w:tcW w:w="0" w:type="auto"/>
            <w:tcBorders>
              <w:left w:val="single" w:sz="12" w:space="0" w:color="auto"/>
              <w:right w:val="single" w:sz="8" w:space="0" w:color="auto"/>
            </w:tcBorders>
            <w:shd w:val="clear" w:color="auto" w:fill="auto"/>
            <w:tcMar>
              <w:top w:w="12" w:type="dxa"/>
              <w:left w:w="12" w:type="dxa"/>
              <w:bottom w:w="0" w:type="dxa"/>
              <w:right w:w="12" w:type="dxa"/>
            </w:tcMar>
            <w:vAlign w:val="center"/>
            <w:hideMark/>
          </w:tcPr>
          <w:p w14:paraId="6C276E8F" w14:textId="77777777" w:rsidR="00E06936" w:rsidRPr="007C0ACA" w:rsidRDefault="00E06936" w:rsidP="00A90638">
            <w:pPr>
              <w:pStyle w:val="Senseespaiat"/>
              <w:jc w:val="center"/>
            </w:pPr>
            <w:r w:rsidRPr="007C0ACA">
              <w:t>0</w:t>
            </w:r>
          </w:p>
        </w:tc>
        <w:tc>
          <w:tcPr>
            <w:tcW w:w="0" w:type="auto"/>
            <w:vMerge/>
            <w:tcBorders>
              <w:left w:val="single" w:sz="8" w:space="0" w:color="auto"/>
              <w:bottom w:val="single" w:sz="18" w:space="0" w:color="auto"/>
            </w:tcBorders>
            <w:vAlign w:val="center"/>
            <w:hideMark/>
          </w:tcPr>
          <w:p w14:paraId="3FC95444" w14:textId="77777777" w:rsidR="00E06936" w:rsidRPr="007C0ACA" w:rsidRDefault="00E06936" w:rsidP="00A90638">
            <w:pPr>
              <w:pStyle w:val="Senseespaiat"/>
              <w:jc w:val="center"/>
              <w:rPr>
                <w:sz w:val="24"/>
              </w:rPr>
            </w:pPr>
          </w:p>
        </w:tc>
      </w:tr>
      <w:tr w:rsidR="00E06936" w:rsidRPr="007C0ACA" w14:paraId="5FF70586" w14:textId="77777777" w:rsidTr="00A90638">
        <w:trPr>
          <w:trHeight w:val="288"/>
        </w:trPr>
        <w:tc>
          <w:tcPr>
            <w:tcW w:w="0" w:type="auto"/>
            <w:vMerge/>
            <w:tcBorders>
              <w:bottom w:val="single" w:sz="18" w:space="0" w:color="auto"/>
              <w:right w:val="single" w:sz="12" w:space="0" w:color="auto"/>
            </w:tcBorders>
            <w:vAlign w:val="center"/>
            <w:hideMark/>
          </w:tcPr>
          <w:p w14:paraId="43B1298C" w14:textId="77777777" w:rsidR="00E06936" w:rsidRPr="007C0ACA" w:rsidRDefault="00E06936" w:rsidP="00A90638">
            <w:pPr>
              <w:pStyle w:val="Senseespaiat"/>
              <w:jc w:val="center"/>
              <w:rPr>
                <w:sz w:val="24"/>
              </w:rPr>
            </w:pPr>
          </w:p>
        </w:tc>
        <w:tc>
          <w:tcPr>
            <w:tcW w:w="0" w:type="auto"/>
            <w:tcBorders>
              <w:left w:val="single" w:sz="12" w:space="0" w:color="auto"/>
              <w:bottom w:val="single" w:sz="18" w:space="0" w:color="auto"/>
              <w:right w:val="single" w:sz="8" w:space="0" w:color="auto"/>
            </w:tcBorders>
            <w:shd w:val="clear" w:color="auto" w:fill="auto"/>
            <w:tcMar>
              <w:top w:w="12" w:type="dxa"/>
              <w:left w:w="12" w:type="dxa"/>
              <w:bottom w:w="0" w:type="dxa"/>
              <w:right w:w="12" w:type="dxa"/>
            </w:tcMar>
            <w:vAlign w:val="center"/>
            <w:hideMark/>
          </w:tcPr>
          <w:p w14:paraId="7E93A743" w14:textId="77777777" w:rsidR="00E06936" w:rsidRPr="007C0ACA" w:rsidRDefault="00E06936" w:rsidP="00A90638">
            <w:pPr>
              <w:pStyle w:val="Senseespaiat"/>
              <w:jc w:val="center"/>
            </w:pPr>
            <w:r w:rsidRPr="007C0ACA">
              <w:t>77.3</w:t>
            </w:r>
          </w:p>
        </w:tc>
        <w:tc>
          <w:tcPr>
            <w:tcW w:w="0" w:type="auto"/>
            <w:vMerge/>
            <w:tcBorders>
              <w:left w:val="single" w:sz="8" w:space="0" w:color="auto"/>
              <w:bottom w:val="single" w:sz="18" w:space="0" w:color="auto"/>
              <w:right w:val="single" w:sz="12" w:space="0" w:color="auto"/>
            </w:tcBorders>
            <w:vAlign w:val="center"/>
            <w:hideMark/>
          </w:tcPr>
          <w:p w14:paraId="0184B984" w14:textId="77777777" w:rsidR="00E06936" w:rsidRPr="007C0ACA" w:rsidRDefault="00E06936" w:rsidP="00A90638">
            <w:pPr>
              <w:pStyle w:val="Senseespaiat"/>
              <w:jc w:val="center"/>
              <w:rPr>
                <w:sz w:val="24"/>
              </w:rPr>
            </w:pPr>
          </w:p>
        </w:tc>
        <w:tc>
          <w:tcPr>
            <w:tcW w:w="0" w:type="auto"/>
            <w:tcBorders>
              <w:left w:val="single" w:sz="12" w:space="0" w:color="auto"/>
              <w:bottom w:val="single" w:sz="18" w:space="0" w:color="auto"/>
              <w:right w:val="single" w:sz="8" w:space="0" w:color="auto"/>
            </w:tcBorders>
            <w:shd w:val="clear" w:color="auto" w:fill="auto"/>
            <w:tcMar>
              <w:top w:w="12" w:type="dxa"/>
              <w:left w:w="12" w:type="dxa"/>
              <w:bottom w:w="0" w:type="dxa"/>
              <w:right w:w="12" w:type="dxa"/>
            </w:tcMar>
            <w:vAlign w:val="center"/>
            <w:hideMark/>
          </w:tcPr>
          <w:p w14:paraId="5BCDC050" w14:textId="77777777" w:rsidR="00E06936" w:rsidRPr="007C0ACA" w:rsidRDefault="00E06936" w:rsidP="00A90638">
            <w:pPr>
              <w:pStyle w:val="Senseespaiat"/>
              <w:jc w:val="center"/>
            </w:pPr>
            <w:r w:rsidRPr="007C0ACA">
              <w:t>0</w:t>
            </w:r>
          </w:p>
        </w:tc>
        <w:tc>
          <w:tcPr>
            <w:tcW w:w="0" w:type="auto"/>
            <w:vMerge/>
            <w:tcBorders>
              <w:left w:val="single" w:sz="8" w:space="0" w:color="auto"/>
              <w:bottom w:val="single" w:sz="18" w:space="0" w:color="auto"/>
            </w:tcBorders>
            <w:vAlign w:val="center"/>
            <w:hideMark/>
          </w:tcPr>
          <w:p w14:paraId="7F57A237" w14:textId="77777777" w:rsidR="00E06936" w:rsidRPr="007C0ACA" w:rsidRDefault="00E06936" w:rsidP="00A90638">
            <w:pPr>
              <w:pStyle w:val="Senseespaiat"/>
              <w:jc w:val="center"/>
              <w:rPr>
                <w:sz w:val="24"/>
              </w:rPr>
            </w:pPr>
          </w:p>
        </w:tc>
      </w:tr>
    </w:tbl>
    <w:p w14:paraId="0AE136D6" w14:textId="0688D083" w:rsidR="00A90638" w:rsidRPr="007C0ACA" w:rsidRDefault="00B3525E" w:rsidP="00E06936">
      <w:pPr>
        <w:jc w:val="both"/>
        <w:rPr>
          <w:bCs/>
        </w:rPr>
      </w:pPr>
      <w:r w:rsidRPr="007C0ACA">
        <w:rPr>
          <w:bCs/>
        </w:rPr>
        <w:t xml:space="preserve">        </w:t>
      </w:r>
    </w:p>
    <w:p w14:paraId="3C5609D7" w14:textId="03184797" w:rsidR="00A90638" w:rsidRPr="007C0ACA" w:rsidRDefault="00B3525E" w:rsidP="00E06936">
      <w:pPr>
        <w:jc w:val="both"/>
      </w:pPr>
      <w:r w:rsidRPr="007C0ACA">
        <w:t xml:space="preserve">       </w:t>
      </w:r>
    </w:p>
    <w:p w14:paraId="4F4AFDBE" w14:textId="77777777" w:rsidR="00E06936" w:rsidRPr="007C0ACA" w:rsidRDefault="00E06936" w:rsidP="00E06936">
      <w:pPr>
        <w:rPr>
          <w:sz w:val="24"/>
        </w:rPr>
      </w:pPr>
    </w:p>
    <w:p w14:paraId="694F1B27" w14:textId="1AD19DB5" w:rsidR="00E06936" w:rsidRPr="007C0ACA" w:rsidRDefault="00E06936" w:rsidP="0010098B">
      <w:pPr>
        <w:pStyle w:val="Senseespaiat"/>
        <w:spacing w:line="276" w:lineRule="auto"/>
        <w:jc w:val="both"/>
      </w:pPr>
    </w:p>
    <w:p w14:paraId="64E04E4C" w14:textId="0AF53DD0" w:rsidR="00E06936" w:rsidRPr="007C0ACA" w:rsidRDefault="00E06936" w:rsidP="0010098B">
      <w:pPr>
        <w:pStyle w:val="Senseespaiat"/>
        <w:spacing w:line="276" w:lineRule="auto"/>
        <w:jc w:val="both"/>
      </w:pPr>
    </w:p>
    <w:p w14:paraId="7D511B97" w14:textId="2B9C778D" w:rsidR="00E06936" w:rsidRPr="007C0ACA" w:rsidRDefault="00E06936" w:rsidP="00E06936"/>
    <w:p w14:paraId="2CA33444" w14:textId="0C18D897" w:rsidR="00E06936" w:rsidRPr="007C0ACA" w:rsidRDefault="00E06936" w:rsidP="00E06936"/>
    <w:p w14:paraId="3039E210" w14:textId="37A2450C" w:rsidR="00E06936" w:rsidRPr="007C0ACA" w:rsidRDefault="00E06936" w:rsidP="00E06936"/>
    <w:p w14:paraId="673FB0E7" w14:textId="11727C11" w:rsidR="00E06936" w:rsidRPr="007C0ACA" w:rsidRDefault="00E06936" w:rsidP="00E06936"/>
    <w:p w14:paraId="700E4C19" w14:textId="6F8A5690" w:rsidR="00E06936" w:rsidRPr="007C0ACA" w:rsidRDefault="00E06936" w:rsidP="00E06936"/>
    <w:p w14:paraId="2927B957" w14:textId="73FE0F27" w:rsidR="00E06936" w:rsidRPr="007C0ACA" w:rsidRDefault="00E06936" w:rsidP="00E06936"/>
    <w:p w14:paraId="74982F1F" w14:textId="0D549E18" w:rsidR="00E06936" w:rsidRPr="007C0ACA" w:rsidRDefault="00E06936" w:rsidP="00E06936"/>
    <w:p w14:paraId="0241AC81" w14:textId="2C8383AB" w:rsidR="00E06936" w:rsidRPr="007C0ACA" w:rsidRDefault="00E06936" w:rsidP="00E06936"/>
    <w:p w14:paraId="4C5EF071" w14:textId="713B0E2B" w:rsidR="00E06936" w:rsidRPr="007C0ACA" w:rsidRDefault="00E06936" w:rsidP="00E06936"/>
    <w:p w14:paraId="019B6FC7" w14:textId="431BC4FD" w:rsidR="00E06936" w:rsidRPr="007C0ACA" w:rsidRDefault="00E06936" w:rsidP="00E06936"/>
    <w:p w14:paraId="1B60F162" w14:textId="711908E0" w:rsidR="00E06936" w:rsidRPr="007C0ACA" w:rsidRDefault="00E06936" w:rsidP="00E06936"/>
    <w:p w14:paraId="68767621" w14:textId="239EBA77" w:rsidR="00E06936" w:rsidRPr="007C0ACA" w:rsidRDefault="00E06936" w:rsidP="00E06936"/>
    <w:p w14:paraId="2F2BF531" w14:textId="77777777" w:rsidR="00E06936" w:rsidRPr="007C0ACA" w:rsidRDefault="00E06936" w:rsidP="00E06936">
      <w:pPr>
        <w:tabs>
          <w:tab w:val="left" w:pos="7396"/>
        </w:tabs>
        <w:sectPr w:rsidR="00E06936" w:rsidRPr="007C0ACA">
          <w:footerReference w:type="default" r:id="rId7"/>
          <w:pgSz w:w="11906" w:h="16838"/>
          <w:pgMar w:top="1440" w:right="1440" w:bottom="1440" w:left="1440" w:header="708" w:footer="708" w:gutter="0"/>
          <w:cols w:space="708"/>
          <w:docGrid w:linePitch="360"/>
        </w:sectPr>
      </w:pPr>
      <w:r w:rsidRPr="007C0ACA">
        <w:tab/>
      </w:r>
    </w:p>
    <w:tbl>
      <w:tblPr>
        <w:tblpPr w:leftFromText="180" w:rightFromText="180" w:vertAnchor="page" w:horzAnchor="margin" w:tblpY="2716"/>
        <w:tblW w:w="0" w:type="auto"/>
        <w:tblLayout w:type="fixed"/>
        <w:tblCellMar>
          <w:left w:w="0" w:type="dxa"/>
          <w:right w:w="0" w:type="dxa"/>
        </w:tblCellMar>
        <w:tblLook w:val="0600" w:firstRow="0" w:lastRow="0" w:firstColumn="0" w:lastColumn="0" w:noHBand="1" w:noVBand="1"/>
      </w:tblPr>
      <w:tblGrid>
        <w:gridCol w:w="1984"/>
        <w:gridCol w:w="1984"/>
        <w:gridCol w:w="1984"/>
        <w:gridCol w:w="1984"/>
        <w:gridCol w:w="1984"/>
        <w:gridCol w:w="1984"/>
        <w:gridCol w:w="1984"/>
      </w:tblGrid>
      <w:tr w:rsidR="00E06936" w:rsidRPr="007C0ACA" w14:paraId="51663788" w14:textId="77777777" w:rsidTr="002856DB">
        <w:trPr>
          <w:trHeight w:val="638"/>
        </w:trPr>
        <w:tc>
          <w:tcPr>
            <w:tcW w:w="1984" w:type="dxa"/>
            <w:tcBorders>
              <w:top w:val="single" w:sz="24" w:space="0" w:color="000000"/>
              <w:left w:val="nil"/>
              <w:bottom w:val="single" w:sz="12" w:space="0" w:color="000000"/>
              <w:right w:val="single" w:sz="8" w:space="0" w:color="000000"/>
            </w:tcBorders>
            <w:shd w:val="clear" w:color="auto" w:fill="auto"/>
            <w:tcMar>
              <w:top w:w="11" w:type="dxa"/>
              <w:left w:w="11" w:type="dxa"/>
              <w:bottom w:w="0" w:type="dxa"/>
              <w:right w:w="11" w:type="dxa"/>
            </w:tcMar>
            <w:vAlign w:val="center"/>
            <w:hideMark/>
          </w:tcPr>
          <w:p w14:paraId="20318110" w14:textId="77777777" w:rsidR="00E06936" w:rsidRPr="007C0ACA" w:rsidRDefault="00E06936" w:rsidP="002856DB">
            <w:pPr>
              <w:pStyle w:val="Senseespaiat"/>
              <w:jc w:val="center"/>
            </w:pPr>
          </w:p>
        </w:tc>
        <w:tc>
          <w:tcPr>
            <w:tcW w:w="1984" w:type="dxa"/>
            <w:tcBorders>
              <w:top w:val="single" w:sz="24" w:space="0" w:color="000000"/>
              <w:left w:val="single" w:sz="8" w:space="0" w:color="000000"/>
              <w:bottom w:val="single" w:sz="12" w:space="0" w:color="000000"/>
              <w:right w:val="single" w:sz="8" w:space="0" w:color="000000"/>
            </w:tcBorders>
            <w:shd w:val="clear" w:color="auto" w:fill="auto"/>
            <w:tcMar>
              <w:top w:w="11" w:type="dxa"/>
              <w:left w:w="11" w:type="dxa"/>
              <w:bottom w:w="0" w:type="dxa"/>
              <w:right w:w="11" w:type="dxa"/>
            </w:tcMar>
            <w:vAlign w:val="center"/>
            <w:hideMark/>
          </w:tcPr>
          <w:p w14:paraId="2630F76A" w14:textId="77777777" w:rsidR="00E06936" w:rsidRPr="007C0ACA" w:rsidRDefault="00E06936" w:rsidP="002856DB">
            <w:pPr>
              <w:pStyle w:val="Senseespaiat"/>
              <w:jc w:val="center"/>
              <w:rPr>
                <w:sz w:val="36"/>
              </w:rPr>
            </w:pPr>
            <w:r w:rsidRPr="007C0ACA">
              <w:rPr>
                <w:b/>
                <w:bCs/>
                <w:sz w:val="36"/>
              </w:rPr>
              <w:t>Bid</w:t>
            </w:r>
          </w:p>
        </w:tc>
        <w:tc>
          <w:tcPr>
            <w:tcW w:w="1984" w:type="dxa"/>
            <w:tcBorders>
              <w:top w:val="single" w:sz="24" w:space="0" w:color="000000"/>
              <w:left w:val="single" w:sz="8" w:space="0" w:color="000000"/>
              <w:bottom w:val="single" w:sz="12" w:space="0" w:color="000000"/>
              <w:right w:val="single" w:sz="8" w:space="0" w:color="000000"/>
            </w:tcBorders>
            <w:shd w:val="clear" w:color="auto" w:fill="auto"/>
            <w:tcMar>
              <w:top w:w="11" w:type="dxa"/>
              <w:left w:w="11" w:type="dxa"/>
              <w:bottom w:w="0" w:type="dxa"/>
              <w:right w:w="11" w:type="dxa"/>
            </w:tcMar>
            <w:vAlign w:val="center"/>
            <w:hideMark/>
          </w:tcPr>
          <w:p w14:paraId="3F90649D" w14:textId="77777777" w:rsidR="00E06936" w:rsidRPr="007C0ACA" w:rsidRDefault="00E06936" w:rsidP="002856DB">
            <w:pPr>
              <w:pStyle w:val="Senseespaiat"/>
              <w:jc w:val="center"/>
              <w:rPr>
                <w:sz w:val="36"/>
              </w:rPr>
            </w:pPr>
            <w:r w:rsidRPr="007C0ACA">
              <w:rPr>
                <w:b/>
                <w:bCs/>
                <w:sz w:val="36"/>
              </w:rPr>
              <w:t>BidAib</w:t>
            </w:r>
            <w:r w:rsidRPr="007C0ACA">
              <w:rPr>
                <w:b/>
                <w:bCs/>
                <w:sz w:val="36"/>
                <w:vertAlign w:val="subscript"/>
              </w:rPr>
              <w:t>2</w:t>
            </w:r>
          </w:p>
        </w:tc>
        <w:tc>
          <w:tcPr>
            <w:tcW w:w="1984" w:type="dxa"/>
            <w:tcBorders>
              <w:top w:val="single" w:sz="24" w:space="0" w:color="000000"/>
              <w:left w:val="single" w:sz="8" w:space="0" w:color="000000"/>
              <w:bottom w:val="single" w:sz="12" w:space="0" w:color="000000"/>
              <w:right w:val="single" w:sz="8" w:space="0" w:color="000000"/>
            </w:tcBorders>
            <w:shd w:val="clear" w:color="auto" w:fill="auto"/>
            <w:tcMar>
              <w:top w:w="11" w:type="dxa"/>
              <w:left w:w="11" w:type="dxa"/>
              <w:bottom w:w="0" w:type="dxa"/>
              <w:right w:w="11" w:type="dxa"/>
            </w:tcMar>
            <w:vAlign w:val="center"/>
            <w:hideMark/>
          </w:tcPr>
          <w:p w14:paraId="2170C356" w14:textId="77777777" w:rsidR="00E06936" w:rsidRPr="007C0ACA" w:rsidRDefault="00E06936" w:rsidP="002856DB">
            <w:pPr>
              <w:pStyle w:val="Senseespaiat"/>
              <w:jc w:val="center"/>
              <w:rPr>
                <w:sz w:val="36"/>
              </w:rPr>
            </w:pPr>
            <w:r w:rsidRPr="007C0ACA">
              <w:rPr>
                <w:b/>
                <w:bCs/>
                <w:sz w:val="36"/>
              </w:rPr>
              <w:t>Bim</w:t>
            </w:r>
          </w:p>
        </w:tc>
        <w:tc>
          <w:tcPr>
            <w:tcW w:w="1984" w:type="dxa"/>
            <w:tcBorders>
              <w:top w:val="single" w:sz="24" w:space="0" w:color="000000"/>
              <w:left w:val="single" w:sz="8" w:space="0" w:color="000000"/>
              <w:bottom w:val="single" w:sz="12" w:space="0" w:color="000000"/>
              <w:right w:val="single" w:sz="8" w:space="0" w:color="000000"/>
            </w:tcBorders>
            <w:shd w:val="clear" w:color="auto" w:fill="auto"/>
            <w:tcMar>
              <w:top w:w="11" w:type="dxa"/>
              <w:left w:w="11" w:type="dxa"/>
              <w:bottom w:w="0" w:type="dxa"/>
              <w:right w:w="11" w:type="dxa"/>
            </w:tcMar>
            <w:vAlign w:val="center"/>
            <w:hideMark/>
          </w:tcPr>
          <w:p w14:paraId="7E028E15" w14:textId="77777777" w:rsidR="00E06936" w:rsidRPr="007C0ACA" w:rsidRDefault="00E06936" w:rsidP="002856DB">
            <w:pPr>
              <w:pStyle w:val="Senseespaiat"/>
              <w:jc w:val="center"/>
              <w:rPr>
                <w:sz w:val="36"/>
              </w:rPr>
            </w:pPr>
            <w:r w:rsidRPr="007C0ACA">
              <w:rPr>
                <w:b/>
                <w:bCs/>
                <w:sz w:val="36"/>
              </w:rPr>
              <w:t>Bim(h3Pc)</w:t>
            </w:r>
          </w:p>
        </w:tc>
        <w:tc>
          <w:tcPr>
            <w:tcW w:w="1984" w:type="dxa"/>
            <w:tcBorders>
              <w:top w:val="single" w:sz="24" w:space="0" w:color="000000"/>
              <w:left w:val="single" w:sz="8" w:space="0" w:color="000000"/>
              <w:bottom w:val="single" w:sz="12" w:space="0" w:color="000000"/>
              <w:right w:val="single" w:sz="8" w:space="0" w:color="000000"/>
            </w:tcBorders>
            <w:shd w:val="clear" w:color="auto" w:fill="auto"/>
            <w:tcMar>
              <w:top w:w="11" w:type="dxa"/>
              <w:left w:w="11" w:type="dxa"/>
              <w:bottom w:w="0" w:type="dxa"/>
              <w:right w:w="11" w:type="dxa"/>
            </w:tcMar>
            <w:vAlign w:val="center"/>
            <w:hideMark/>
          </w:tcPr>
          <w:p w14:paraId="4311C5A6" w14:textId="77777777" w:rsidR="00E06936" w:rsidRPr="007C0ACA" w:rsidRDefault="00E06936" w:rsidP="002856DB">
            <w:pPr>
              <w:pStyle w:val="Senseespaiat"/>
              <w:jc w:val="center"/>
              <w:rPr>
                <w:sz w:val="36"/>
              </w:rPr>
            </w:pPr>
            <w:r w:rsidRPr="007C0ACA">
              <w:rPr>
                <w:b/>
                <w:bCs/>
                <w:sz w:val="36"/>
              </w:rPr>
              <w:t>Bim (active)</w:t>
            </w:r>
          </w:p>
        </w:tc>
        <w:tc>
          <w:tcPr>
            <w:tcW w:w="1984" w:type="dxa"/>
            <w:tcBorders>
              <w:top w:val="single" w:sz="24" w:space="0" w:color="000000"/>
              <w:left w:val="single" w:sz="8" w:space="0" w:color="000000"/>
              <w:bottom w:val="single" w:sz="12" w:space="0" w:color="000000"/>
              <w:right w:val="nil"/>
            </w:tcBorders>
            <w:shd w:val="clear" w:color="auto" w:fill="auto"/>
            <w:tcMar>
              <w:top w:w="11" w:type="dxa"/>
              <w:left w:w="11" w:type="dxa"/>
              <w:bottom w:w="0" w:type="dxa"/>
              <w:right w:w="11" w:type="dxa"/>
            </w:tcMar>
            <w:vAlign w:val="center"/>
            <w:hideMark/>
          </w:tcPr>
          <w:p w14:paraId="1BD83B43" w14:textId="77777777" w:rsidR="00E06936" w:rsidRPr="007C0ACA" w:rsidRDefault="00E06936" w:rsidP="002856DB">
            <w:pPr>
              <w:pStyle w:val="Senseespaiat"/>
              <w:jc w:val="center"/>
              <w:rPr>
                <w:sz w:val="36"/>
              </w:rPr>
            </w:pPr>
            <w:r w:rsidRPr="007C0ACA">
              <w:rPr>
                <w:b/>
                <w:bCs/>
                <w:sz w:val="36"/>
              </w:rPr>
              <w:t>Bim(h3Pc) (active)</w:t>
            </w:r>
          </w:p>
        </w:tc>
      </w:tr>
      <w:tr w:rsidR="00E06936" w:rsidRPr="007C0ACA" w14:paraId="42F112D9" w14:textId="77777777" w:rsidTr="002856DB">
        <w:trPr>
          <w:trHeight w:val="510"/>
        </w:trPr>
        <w:tc>
          <w:tcPr>
            <w:tcW w:w="1984" w:type="dxa"/>
            <w:tcBorders>
              <w:top w:val="single" w:sz="12" w:space="0" w:color="000000"/>
              <w:left w:val="nil"/>
              <w:bottom w:val="nil"/>
              <w:right w:val="single" w:sz="4" w:space="0" w:color="auto"/>
            </w:tcBorders>
            <w:shd w:val="clear" w:color="auto" w:fill="auto"/>
            <w:tcMar>
              <w:top w:w="11" w:type="dxa"/>
              <w:left w:w="11" w:type="dxa"/>
              <w:bottom w:w="0" w:type="dxa"/>
              <w:right w:w="11" w:type="dxa"/>
            </w:tcMar>
            <w:vAlign w:val="center"/>
            <w:hideMark/>
          </w:tcPr>
          <w:p w14:paraId="596D2D1A" w14:textId="77777777" w:rsidR="00E06936" w:rsidRPr="007C0ACA" w:rsidRDefault="00E06936" w:rsidP="002856DB">
            <w:pPr>
              <w:pStyle w:val="Senseespaiat"/>
              <w:rPr>
                <w:sz w:val="32"/>
              </w:rPr>
            </w:pPr>
            <w:r w:rsidRPr="007C0ACA">
              <w:rPr>
                <w:b/>
                <w:bCs/>
                <w:sz w:val="32"/>
              </w:rPr>
              <w:t>∆H</w:t>
            </w:r>
            <w:r w:rsidRPr="007C0ACA">
              <w:rPr>
                <w:b/>
                <w:bCs/>
                <w:sz w:val="32"/>
                <w:vertAlign w:val="subscript"/>
              </w:rPr>
              <w:t>vdW</w:t>
            </w:r>
          </w:p>
        </w:tc>
        <w:tc>
          <w:tcPr>
            <w:tcW w:w="1984" w:type="dxa"/>
            <w:tcBorders>
              <w:top w:val="single" w:sz="12" w:space="0" w:color="000000"/>
              <w:left w:val="single" w:sz="4" w:space="0" w:color="auto"/>
              <w:bottom w:val="nil"/>
              <w:right w:val="nil"/>
            </w:tcBorders>
            <w:shd w:val="clear" w:color="auto" w:fill="auto"/>
            <w:tcMar>
              <w:top w:w="12" w:type="dxa"/>
              <w:left w:w="12" w:type="dxa"/>
              <w:bottom w:w="0" w:type="dxa"/>
              <w:right w:w="12" w:type="dxa"/>
            </w:tcMar>
            <w:vAlign w:val="center"/>
            <w:hideMark/>
          </w:tcPr>
          <w:p w14:paraId="4C683056" w14:textId="77777777" w:rsidR="00E06936" w:rsidRPr="007C0ACA" w:rsidRDefault="00E06936" w:rsidP="002856DB">
            <w:pPr>
              <w:pStyle w:val="Senseespaiat"/>
              <w:jc w:val="center"/>
              <w:rPr>
                <w:sz w:val="24"/>
                <w:szCs w:val="24"/>
              </w:rPr>
            </w:pPr>
            <w:r w:rsidRPr="007C0ACA">
              <w:rPr>
                <w:sz w:val="24"/>
                <w:szCs w:val="24"/>
              </w:rPr>
              <w:t>-102.8 ± 0.1</w:t>
            </w:r>
          </w:p>
        </w:tc>
        <w:tc>
          <w:tcPr>
            <w:tcW w:w="1984"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541330AD" w14:textId="77777777" w:rsidR="00E06936" w:rsidRPr="007C0ACA" w:rsidRDefault="00E06936" w:rsidP="002856DB">
            <w:pPr>
              <w:pStyle w:val="Senseespaiat"/>
              <w:jc w:val="center"/>
              <w:rPr>
                <w:sz w:val="24"/>
                <w:szCs w:val="24"/>
              </w:rPr>
            </w:pPr>
            <w:r w:rsidRPr="007C0ACA">
              <w:rPr>
                <w:sz w:val="24"/>
                <w:szCs w:val="24"/>
              </w:rPr>
              <w:t>-111.1 ± 0.0</w:t>
            </w:r>
          </w:p>
        </w:tc>
        <w:tc>
          <w:tcPr>
            <w:tcW w:w="1984"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7F3F4A17" w14:textId="77777777" w:rsidR="00E06936" w:rsidRPr="007C0ACA" w:rsidRDefault="00E06936" w:rsidP="002856DB">
            <w:pPr>
              <w:pStyle w:val="Senseespaiat"/>
              <w:jc w:val="center"/>
              <w:rPr>
                <w:sz w:val="24"/>
                <w:szCs w:val="24"/>
              </w:rPr>
            </w:pPr>
            <w:r w:rsidRPr="007C0ACA">
              <w:rPr>
                <w:sz w:val="24"/>
                <w:szCs w:val="24"/>
              </w:rPr>
              <w:t>-125.4 ± 0.1</w:t>
            </w:r>
          </w:p>
        </w:tc>
        <w:tc>
          <w:tcPr>
            <w:tcW w:w="1984"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3A0A4E1D" w14:textId="77777777" w:rsidR="00E06936" w:rsidRPr="007C0ACA" w:rsidRDefault="00E06936" w:rsidP="002856DB">
            <w:pPr>
              <w:pStyle w:val="Senseespaiat"/>
              <w:jc w:val="center"/>
              <w:rPr>
                <w:sz w:val="24"/>
                <w:szCs w:val="24"/>
              </w:rPr>
            </w:pPr>
            <w:r w:rsidRPr="007C0ACA">
              <w:rPr>
                <w:sz w:val="24"/>
                <w:szCs w:val="24"/>
              </w:rPr>
              <w:t>-134.0 ± 0.2</w:t>
            </w:r>
          </w:p>
        </w:tc>
        <w:tc>
          <w:tcPr>
            <w:tcW w:w="1984"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38638ED2" w14:textId="77777777" w:rsidR="00E06936" w:rsidRPr="007C0ACA" w:rsidRDefault="00E06936" w:rsidP="002856DB">
            <w:pPr>
              <w:pStyle w:val="Senseespaiat"/>
              <w:jc w:val="center"/>
              <w:rPr>
                <w:sz w:val="24"/>
                <w:szCs w:val="24"/>
              </w:rPr>
            </w:pPr>
            <w:r w:rsidRPr="007C0ACA">
              <w:rPr>
                <w:sz w:val="24"/>
                <w:szCs w:val="24"/>
              </w:rPr>
              <w:t>-124.1 ± 0.1</w:t>
            </w:r>
          </w:p>
        </w:tc>
        <w:tc>
          <w:tcPr>
            <w:tcW w:w="1984" w:type="dxa"/>
            <w:tcBorders>
              <w:top w:val="single" w:sz="12" w:space="0" w:color="000000"/>
              <w:left w:val="nil"/>
              <w:bottom w:val="nil"/>
              <w:right w:val="nil"/>
            </w:tcBorders>
            <w:shd w:val="clear" w:color="auto" w:fill="auto"/>
            <w:tcMar>
              <w:top w:w="12" w:type="dxa"/>
              <w:left w:w="12" w:type="dxa"/>
              <w:bottom w:w="0" w:type="dxa"/>
              <w:right w:w="12" w:type="dxa"/>
            </w:tcMar>
            <w:vAlign w:val="center"/>
            <w:hideMark/>
          </w:tcPr>
          <w:p w14:paraId="5E6AD16C" w14:textId="77777777" w:rsidR="00E06936" w:rsidRPr="007C0ACA" w:rsidRDefault="00E06936" w:rsidP="002856DB">
            <w:pPr>
              <w:pStyle w:val="Senseespaiat"/>
              <w:jc w:val="center"/>
              <w:rPr>
                <w:sz w:val="24"/>
                <w:szCs w:val="24"/>
              </w:rPr>
            </w:pPr>
            <w:r w:rsidRPr="007C0ACA">
              <w:rPr>
                <w:sz w:val="24"/>
                <w:szCs w:val="24"/>
              </w:rPr>
              <w:t>-125.3 ± 0.1</w:t>
            </w:r>
          </w:p>
        </w:tc>
      </w:tr>
      <w:tr w:rsidR="00E06936" w:rsidRPr="007C0ACA" w14:paraId="3C2C209C" w14:textId="77777777" w:rsidTr="002856DB">
        <w:trPr>
          <w:trHeight w:val="510"/>
        </w:trPr>
        <w:tc>
          <w:tcPr>
            <w:tcW w:w="1984" w:type="dxa"/>
            <w:tcBorders>
              <w:top w:val="nil"/>
              <w:left w:val="nil"/>
              <w:bottom w:val="nil"/>
              <w:right w:val="single" w:sz="4" w:space="0" w:color="auto"/>
            </w:tcBorders>
            <w:shd w:val="clear" w:color="auto" w:fill="auto"/>
            <w:tcMar>
              <w:top w:w="11" w:type="dxa"/>
              <w:left w:w="11" w:type="dxa"/>
              <w:bottom w:w="0" w:type="dxa"/>
              <w:right w:w="11" w:type="dxa"/>
            </w:tcMar>
            <w:vAlign w:val="center"/>
            <w:hideMark/>
          </w:tcPr>
          <w:p w14:paraId="356CD6EA" w14:textId="77777777" w:rsidR="00E06936" w:rsidRPr="007C0ACA" w:rsidRDefault="00E06936" w:rsidP="002856DB">
            <w:pPr>
              <w:pStyle w:val="Senseespaiat"/>
              <w:rPr>
                <w:sz w:val="32"/>
              </w:rPr>
            </w:pPr>
            <w:r w:rsidRPr="007C0ACA">
              <w:rPr>
                <w:b/>
                <w:bCs/>
                <w:sz w:val="32"/>
              </w:rPr>
              <w:t>∆H</w:t>
            </w:r>
            <w:r w:rsidRPr="007C0ACA">
              <w:rPr>
                <w:b/>
                <w:bCs/>
                <w:sz w:val="32"/>
                <w:vertAlign w:val="subscript"/>
              </w:rPr>
              <w:t>ee</w:t>
            </w:r>
          </w:p>
        </w:tc>
        <w:tc>
          <w:tcPr>
            <w:tcW w:w="1984"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14:paraId="2B7D9ECF" w14:textId="77777777" w:rsidR="00E06936" w:rsidRPr="007C0ACA" w:rsidRDefault="00E06936" w:rsidP="002856DB">
            <w:pPr>
              <w:pStyle w:val="Senseespaiat"/>
              <w:jc w:val="center"/>
              <w:rPr>
                <w:sz w:val="24"/>
                <w:szCs w:val="24"/>
              </w:rPr>
            </w:pPr>
            <w:r w:rsidRPr="007C0ACA">
              <w:rPr>
                <w:sz w:val="24"/>
                <w:szCs w:val="24"/>
              </w:rPr>
              <w:t>-172.0 ± 0.6</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0D422FD6" w14:textId="77777777" w:rsidR="00E06936" w:rsidRPr="007C0ACA" w:rsidRDefault="00E06936" w:rsidP="002856DB">
            <w:pPr>
              <w:pStyle w:val="Senseespaiat"/>
              <w:jc w:val="center"/>
              <w:rPr>
                <w:sz w:val="24"/>
                <w:szCs w:val="24"/>
              </w:rPr>
            </w:pPr>
            <w:r w:rsidRPr="007C0ACA">
              <w:rPr>
                <w:sz w:val="24"/>
                <w:szCs w:val="24"/>
              </w:rPr>
              <w:t>-143.6 ± 0.3</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3F31E6E7" w14:textId="77777777" w:rsidR="00E06936" w:rsidRPr="007C0ACA" w:rsidRDefault="00E06936" w:rsidP="002856DB">
            <w:pPr>
              <w:pStyle w:val="Senseespaiat"/>
              <w:jc w:val="center"/>
              <w:rPr>
                <w:sz w:val="24"/>
                <w:szCs w:val="24"/>
              </w:rPr>
            </w:pPr>
            <w:r w:rsidRPr="007C0ACA">
              <w:rPr>
                <w:sz w:val="24"/>
                <w:szCs w:val="24"/>
              </w:rPr>
              <w:t>-181.3 ± 0.4</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787414AA" w14:textId="77777777" w:rsidR="00E06936" w:rsidRPr="007C0ACA" w:rsidRDefault="00E06936" w:rsidP="002856DB">
            <w:pPr>
              <w:pStyle w:val="Senseespaiat"/>
              <w:jc w:val="center"/>
              <w:rPr>
                <w:sz w:val="24"/>
                <w:szCs w:val="24"/>
              </w:rPr>
            </w:pPr>
            <w:r w:rsidRPr="007C0ACA">
              <w:rPr>
                <w:sz w:val="24"/>
                <w:szCs w:val="24"/>
              </w:rPr>
              <w:t>-246.4 ± 0.7</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1849BB6A" w14:textId="77777777" w:rsidR="00E06936" w:rsidRPr="007C0ACA" w:rsidRDefault="00E06936" w:rsidP="002856DB">
            <w:pPr>
              <w:pStyle w:val="Senseespaiat"/>
              <w:jc w:val="center"/>
              <w:rPr>
                <w:sz w:val="24"/>
                <w:szCs w:val="24"/>
              </w:rPr>
            </w:pPr>
            <w:r w:rsidRPr="007C0ACA">
              <w:rPr>
                <w:sz w:val="24"/>
                <w:szCs w:val="24"/>
              </w:rPr>
              <w:t>-160.6 ± 1.0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5FA79C82" w14:textId="77777777" w:rsidR="00E06936" w:rsidRPr="007C0ACA" w:rsidRDefault="00E06936" w:rsidP="002856DB">
            <w:pPr>
              <w:pStyle w:val="Senseespaiat"/>
              <w:jc w:val="center"/>
              <w:rPr>
                <w:sz w:val="24"/>
                <w:szCs w:val="24"/>
              </w:rPr>
            </w:pPr>
            <w:r w:rsidRPr="007C0ACA">
              <w:rPr>
                <w:sz w:val="24"/>
                <w:szCs w:val="24"/>
              </w:rPr>
              <w:t>-156.8 ± 0.7</w:t>
            </w:r>
          </w:p>
        </w:tc>
      </w:tr>
      <w:tr w:rsidR="00E06936" w:rsidRPr="007C0ACA" w14:paraId="655270BE" w14:textId="77777777" w:rsidTr="002856DB">
        <w:trPr>
          <w:trHeight w:val="510"/>
        </w:trPr>
        <w:tc>
          <w:tcPr>
            <w:tcW w:w="1984" w:type="dxa"/>
            <w:tcBorders>
              <w:top w:val="nil"/>
              <w:left w:val="nil"/>
              <w:bottom w:val="nil"/>
              <w:right w:val="single" w:sz="4" w:space="0" w:color="auto"/>
            </w:tcBorders>
            <w:shd w:val="clear" w:color="auto" w:fill="auto"/>
            <w:tcMar>
              <w:top w:w="11" w:type="dxa"/>
              <w:left w:w="11" w:type="dxa"/>
              <w:bottom w:w="0" w:type="dxa"/>
              <w:right w:w="11" w:type="dxa"/>
            </w:tcMar>
            <w:vAlign w:val="center"/>
            <w:hideMark/>
          </w:tcPr>
          <w:p w14:paraId="03EBE468" w14:textId="77777777" w:rsidR="00E06936" w:rsidRPr="007C0ACA" w:rsidRDefault="00E06936" w:rsidP="002856DB">
            <w:pPr>
              <w:pStyle w:val="Senseespaiat"/>
              <w:rPr>
                <w:sz w:val="32"/>
              </w:rPr>
            </w:pPr>
            <w:r w:rsidRPr="007C0ACA">
              <w:rPr>
                <w:b/>
                <w:bCs/>
                <w:sz w:val="32"/>
              </w:rPr>
              <w:t>∆G</w:t>
            </w:r>
            <w:r w:rsidRPr="007C0ACA">
              <w:rPr>
                <w:b/>
                <w:bCs/>
                <w:sz w:val="32"/>
                <w:vertAlign w:val="subscript"/>
              </w:rPr>
              <w:t>polar,PB</w:t>
            </w:r>
          </w:p>
        </w:tc>
        <w:tc>
          <w:tcPr>
            <w:tcW w:w="1984"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14:paraId="0BA61432" w14:textId="77777777" w:rsidR="00E06936" w:rsidRPr="007C0ACA" w:rsidRDefault="00E06936" w:rsidP="002856DB">
            <w:pPr>
              <w:pStyle w:val="Senseespaiat"/>
              <w:jc w:val="center"/>
              <w:rPr>
                <w:sz w:val="24"/>
                <w:szCs w:val="24"/>
              </w:rPr>
            </w:pPr>
            <w:r w:rsidRPr="007C0ACA">
              <w:rPr>
                <w:sz w:val="24"/>
                <w:szCs w:val="24"/>
              </w:rPr>
              <w:t>192.4 ± 0.5</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7D616E4B" w14:textId="77777777" w:rsidR="00E06936" w:rsidRPr="007C0ACA" w:rsidRDefault="00E06936" w:rsidP="002856DB">
            <w:pPr>
              <w:pStyle w:val="Senseespaiat"/>
              <w:jc w:val="center"/>
              <w:rPr>
                <w:sz w:val="24"/>
                <w:szCs w:val="24"/>
              </w:rPr>
            </w:pPr>
            <w:r w:rsidRPr="007C0ACA">
              <w:rPr>
                <w:sz w:val="24"/>
                <w:szCs w:val="24"/>
              </w:rPr>
              <w:t>178.3 ± 0.2</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1DD132ED" w14:textId="77777777" w:rsidR="00E06936" w:rsidRPr="007C0ACA" w:rsidRDefault="00E06936" w:rsidP="002856DB">
            <w:pPr>
              <w:pStyle w:val="Senseespaiat"/>
              <w:jc w:val="center"/>
              <w:rPr>
                <w:sz w:val="24"/>
                <w:szCs w:val="24"/>
              </w:rPr>
            </w:pPr>
            <w:r w:rsidRPr="007C0ACA">
              <w:rPr>
                <w:sz w:val="24"/>
                <w:szCs w:val="24"/>
              </w:rPr>
              <w:t>218.2 ± 0.3</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7D9B755A" w14:textId="77777777" w:rsidR="00E06936" w:rsidRPr="007C0ACA" w:rsidRDefault="00E06936" w:rsidP="002856DB">
            <w:pPr>
              <w:pStyle w:val="Senseespaiat"/>
              <w:jc w:val="center"/>
              <w:rPr>
                <w:sz w:val="24"/>
                <w:szCs w:val="24"/>
              </w:rPr>
            </w:pPr>
            <w:r w:rsidRPr="007C0ACA">
              <w:rPr>
                <w:sz w:val="24"/>
                <w:szCs w:val="24"/>
              </w:rPr>
              <w:t>252.1 ± 0.6</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4FF1F3EE" w14:textId="77777777" w:rsidR="00E06936" w:rsidRPr="007C0ACA" w:rsidRDefault="00E06936" w:rsidP="002856DB">
            <w:pPr>
              <w:pStyle w:val="Senseespaiat"/>
              <w:jc w:val="center"/>
              <w:rPr>
                <w:sz w:val="24"/>
                <w:szCs w:val="24"/>
              </w:rPr>
            </w:pPr>
            <w:r w:rsidRPr="007C0ACA">
              <w:rPr>
                <w:sz w:val="24"/>
                <w:szCs w:val="24"/>
              </w:rPr>
              <w:t>197.1 ± 1.0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1027E394" w14:textId="77777777" w:rsidR="00E06936" w:rsidRPr="007C0ACA" w:rsidRDefault="00E06936" w:rsidP="002856DB">
            <w:pPr>
              <w:pStyle w:val="Senseespaiat"/>
              <w:jc w:val="center"/>
              <w:rPr>
                <w:sz w:val="24"/>
                <w:szCs w:val="24"/>
              </w:rPr>
            </w:pPr>
            <w:r w:rsidRPr="007C0ACA">
              <w:rPr>
                <w:sz w:val="24"/>
                <w:szCs w:val="24"/>
              </w:rPr>
              <w:t>165.0 ± 0.6</w:t>
            </w:r>
          </w:p>
        </w:tc>
      </w:tr>
      <w:tr w:rsidR="00E06936" w:rsidRPr="007C0ACA" w14:paraId="7618BBC9" w14:textId="77777777" w:rsidTr="002856DB">
        <w:trPr>
          <w:trHeight w:val="510"/>
        </w:trPr>
        <w:tc>
          <w:tcPr>
            <w:tcW w:w="1984" w:type="dxa"/>
            <w:tcBorders>
              <w:top w:val="nil"/>
              <w:left w:val="nil"/>
              <w:bottom w:val="nil"/>
              <w:right w:val="single" w:sz="4" w:space="0" w:color="auto"/>
            </w:tcBorders>
            <w:shd w:val="clear" w:color="auto" w:fill="auto"/>
            <w:tcMar>
              <w:top w:w="11" w:type="dxa"/>
              <w:left w:w="11" w:type="dxa"/>
              <w:bottom w:w="0" w:type="dxa"/>
              <w:right w:w="11" w:type="dxa"/>
            </w:tcMar>
            <w:vAlign w:val="center"/>
            <w:hideMark/>
          </w:tcPr>
          <w:p w14:paraId="26BC09E8" w14:textId="77777777" w:rsidR="00E06936" w:rsidRPr="007C0ACA" w:rsidRDefault="00E06936" w:rsidP="002856DB">
            <w:pPr>
              <w:pStyle w:val="Senseespaiat"/>
              <w:rPr>
                <w:sz w:val="32"/>
              </w:rPr>
            </w:pPr>
            <w:r w:rsidRPr="007C0ACA">
              <w:rPr>
                <w:b/>
                <w:bCs/>
                <w:sz w:val="32"/>
              </w:rPr>
              <w:t>∆G</w:t>
            </w:r>
            <w:r w:rsidRPr="007C0ACA">
              <w:rPr>
                <w:b/>
                <w:bCs/>
                <w:sz w:val="32"/>
                <w:vertAlign w:val="subscript"/>
              </w:rPr>
              <w:t>nonpolar,PB</w:t>
            </w:r>
          </w:p>
        </w:tc>
        <w:tc>
          <w:tcPr>
            <w:tcW w:w="1984"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14:paraId="16D4DDCE" w14:textId="77777777" w:rsidR="00E06936" w:rsidRPr="007C0ACA" w:rsidRDefault="00E06936" w:rsidP="002856DB">
            <w:pPr>
              <w:pStyle w:val="Senseespaiat"/>
              <w:jc w:val="center"/>
              <w:rPr>
                <w:sz w:val="24"/>
                <w:szCs w:val="24"/>
              </w:rPr>
            </w:pPr>
            <w:r w:rsidRPr="007C0ACA">
              <w:rPr>
                <w:sz w:val="24"/>
                <w:szCs w:val="24"/>
              </w:rPr>
              <w:t>-11.6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7F4DD71D" w14:textId="77777777" w:rsidR="00E06936" w:rsidRPr="007C0ACA" w:rsidRDefault="00E06936" w:rsidP="002856DB">
            <w:pPr>
              <w:pStyle w:val="Senseespaiat"/>
              <w:jc w:val="center"/>
              <w:rPr>
                <w:sz w:val="24"/>
                <w:szCs w:val="24"/>
              </w:rPr>
            </w:pPr>
            <w:r w:rsidRPr="007C0ACA">
              <w:rPr>
                <w:sz w:val="24"/>
                <w:szCs w:val="24"/>
              </w:rPr>
              <w:t>-13.2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684264F9" w14:textId="77777777" w:rsidR="00E06936" w:rsidRPr="007C0ACA" w:rsidRDefault="00E06936" w:rsidP="002856DB">
            <w:pPr>
              <w:pStyle w:val="Senseespaiat"/>
              <w:jc w:val="center"/>
              <w:rPr>
                <w:sz w:val="24"/>
                <w:szCs w:val="24"/>
              </w:rPr>
            </w:pPr>
            <w:r w:rsidRPr="007C0ACA">
              <w:rPr>
                <w:sz w:val="24"/>
                <w:szCs w:val="24"/>
              </w:rPr>
              <w:t>-14.7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5628A4F5" w14:textId="77777777" w:rsidR="00E06936" w:rsidRPr="007C0ACA" w:rsidRDefault="00E06936" w:rsidP="002856DB">
            <w:pPr>
              <w:pStyle w:val="Senseespaiat"/>
              <w:jc w:val="center"/>
              <w:rPr>
                <w:sz w:val="24"/>
                <w:szCs w:val="24"/>
              </w:rPr>
            </w:pPr>
            <w:r w:rsidRPr="007C0ACA">
              <w:rPr>
                <w:sz w:val="24"/>
                <w:szCs w:val="24"/>
              </w:rPr>
              <w:t>-15.6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704D388C" w14:textId="77777777" w:rsidR="00E06936" w:rsidRPr="007C0ACA" w:rsidRDefault="00E06936" w:rsidP="002856DB">
            <w:pPr>
              <w:pStyle w:val="Senseespaiat"/>
              <w:jc w:val="center"/>
              <w:rPr>
                <w:sz w:val="24"/>
                <w:szCs w:val="24"/>
              </w:rPr>
            </w:pPr>
            <w:r w:rsidRPr="007C0ACA">
              <w:rPr>
                <w:sz w:val="24"/>
                <w:szCs w:val="24"/>
              </w:rPr>
              <w:t>-14.0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5D7F4220" w14:textId="77777777" w:rsidR="00E06936" w:rsidRPr="007C0ACA" w:rsidRDefault="00E06936" w:rsidP="002856DB">
            <w:pPr>
              <w:pStyle w:val="Senseespaiat"/>
              <w:jc w:val="center"/>
              <w:rPr>
                <w:sz w:val="24"/>
                <w:szCs w:val="24"/>
              </w:rPr>
            </w:pPr>
            <w:r w:rsidRPr="007C0ACA">
              <w:rPr>
                <w:sz w:val="24"/>
                <w:szCs w:val="24"/>
              </w:rPr>
              <w:t>-14.4 ± 0.0</w:t>
            </w:r>
          </w:p>
        </w:tc>
      </w:tr>
      <w:tr w:rsidR="00E06936" w:rsidRPr="007C0ACA" w14:paraId="4C9DC5D8" w14:textId="77777777" w:rsidTr="002856DB">
        <w:trPr>
          <w:trHeight w:val="510"/>
        </w:trPr>
        <w:tc>
          <w:tcPr>
            <w:tcW w:w="1984" w:type="dxa"/>
            <w:tcBorders>
              <w:top w:val="nil"/>
              <w:left w:val="nil"/>
              <w:bottom w:val="nil"/>
              <w:right w:val="single" w:sz="4" w:space="0" w:color="auto"/>
            </w:tcBorders>
            <w:shd w:val="clear" w:color="auto" w:fill="auto"/>
            <w:tcMar>
              <w:top w:w="11" w:type="dxa"/>
              <w:left w:w="11" w:type="dxa"/>
              <w:bottom w:w="0" w:type="dxa"/>
              <w:right w:w="11" w:type="dxa"/>
            </w:tcMar>
            <w:vAlign w:val="center"/>
            <w:hideMark/>
          </w:tcPr>
          <w:p w14:paraId="2DE8F905" w14:textId="77777777" w:rsidR="00E06936" w:rsidRPr="007C0ACA" w:rsidRDefault="00E06936" w:rsidP="002856DB">
            <w:pPr>
              <w:pStyle w:val="Senseespaiat"/>
              <w:rPr>
                <w:sz w:val="32"/>
              </w:rPr>
            </w:pPr>
            <w:r w:rsidRPr="007C0ACA">
              <w:rPr>
                <w:b/>
                <w:bCs/>
                <w:sz w:val="32"/>
              </w:rPr>
              <w:t>∆G</w:t>
            </w:r>
            <w:r w:rsidRPr="007C0ACA">
              <w:rPr>
                <w:b/>
                <w:bCs/>
                <w:sz w:val="32"/>
                <w:vertAlign w:val="subscript"/>
              </w:rPr>
              <w:t>polar,GB</w:t>
            </w:r>
          </w:p>
        </w:tc>
        <w:tc>
          <w:tcPr>
            <w:tcW w:w="1984"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14:paraId="5DA5F6FA" w14:textId="77777777" w:rsidR="00E06936" w:rsidRPr="007C0ACA" w:rsidRDefault="00E06936" w:rsidP="002856DB">
            <w:pPr>
              <w:pStyle w:val="Senseespaiat"/>
              <w:jc w:val="center"/>
              <w:rPr>
                <w:sz w:val="24"/>
                <w:szCs w:val="24"/>
              </w:rPr>
            </w:pPr>
            <w:r w:rsidRPr="007C0ACA">
              <w:rPr>
                <w:sz w:val="24"/>
                <w:szCs w:val="24"/>
              </w:rPr>
              <w:t>200.0 ± 0.5</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4300BD92" w14:textId="77777777" w:rsidR="00E06936" w:rsidRPr="007C0ACA" w:rsidRDefault="00E06936" w:rsidP="002856DB">
            <w:pPr>
              <w:pStyle w:val="Senseespaiat"/>
              <w:jc w:val="center"/>
              <w:rPr>
                <w:sz w:val="24"/>
                <w:szCs w:val="24"/>
              </w:rPr>
            </w:pPr>
            <w:r w:rsidRPr="007C0ACA">
              <w:rPr>
                <w:sz w:val="24"/>
                <w:szCs w:val="24"/>
              </w:rPr>
              <w:t>178.3 ± 0.2</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0E756155" w14:textId="77777777" w:rsidR="00E06936" w:rsidRPr="007C0ACA" w:rsidRDefault="00E06936" w:rsidP="002856DB">
            <w:pPr>
              <w:pStyle w:val="Senseespaiat"/>
              <w:jc w:val="center"/>
              <w:rPr>
                <w:sz w:val="24"/>
                <w:szCs w:val="24"/>
              </w:rPr>
            </w:pPr>
            <w:r w:rsidRPr="007C0ACA">
              <w:rPr>
                <w:sz w:val="24"/>
                <w:szCs w:val="24"/>
              </w:rPr>
              <w:t>219.0 ± 0.4</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4823C4CF" w14:textId="77777777" w:rsidR="00E06936" w:rsidRPr="007C0ACA" w:rsidRDefault="00E06936" w:rsidP="002856DB">
            <w:pPr>
              <w:pStyle w:val="Senseespaiat"/>
              <w:jc w:val="center"/>
              <w:rPr>
                <w:sz w:val="24"/>
                <w:szCs w:val="24"/>
              </w:rPr>
            </w:pPr>
            <w:r w:rsidRPr="007C0ACA">
              <w:rPr>
                <w:sz w:val="24"/>
                <w:szCs w:val="24"/>
              </w:rPr>
              <w:t>254.8 ± 0.6</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1F420541" w14:textId="77777777" w:rsidR="00E06936" w:rsidRPr="007C0ACA" w:rsidRDefault="00E06936" w:rsidP="002856DB">
            <w:pPr>
              <w:pStyle w:val="Senseespaiat"/>
              <w:jc w:val="center"/>
              <w:rPr>
                <w:sz w:val="24"/>
                <w:szCs w:val="24"/>
              </w:rPr>
            </w:pPr>
            <w:r w:rsidRPr="007C0ACA">
              <w:rPr>
                <w:sz w:val="24"/>
                <w:szCs w:val="24"/>
              </w:rPr>
              <w:t>199.3 ± 0.9</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42D0501A" w14:textId="77777777" w:rsidR="00E06936" w:rsidRPr="007C0ACA" w:rsidRDefault="00E06936" w:rsidP="002856DB">
            <w:pPr>
              <w:pStyle w:val="Senseespaiat"/>
              <w:jc w:val="center"/>
              <w:rPr>
                <w:sz w:val="24"/>
                <w:szCs w:val="24"/>
              </w:rPr>
            </w:pPr>
            <w:r w:rsidRPr="007C0ACA">
              <w:rPr>
                <w:sz w:val="24"/>
                <w:szCs w:val="24"/>
              </w:rPr>
              <w:t>168.7 ± 0.6</w:t>
            </w:r>
          </w:p>
        </w:tc>
      </w:tr>
      <w:tr w:rsidR="00E06936" w:rsidRPr="007C0ACA" w14:paraId="2DDA7EAE" w14:textId="77777777" w:rsidTr="002856DB">
        <w:trPr>
          <w:trHeight w:val="510"/>
        </w:trPr>
        <w:tc>
          <w:tcPr>
            <w:tcW w:w="1984" w:type="dxa"/>
            <w:tcBorders>
              <w:top w:val="nil"/>
              <w:left w:val="nil"/>
              <w:bottom w:val="nil"/>
              <w:right w:val="single" w:sz="4" w:space="0" w:color="auto"/>
            </w:tcBorders>
            <w:shd w:val="clear" w:color="auto" w:fill="auto"/>
            <w:tcMar>
              <w:top w:w="11" w:type="dxa"/>
              <w:left w:w="11" w:type="dxa"/>
              <w:bottom w:w="0" w:type="dxa"/>
              <w:right w:w="11" w:type="dxa"/>
            </w:tcMar>
            <w:vAlign w:val="center"/>
            <w:hideMark/>
          </w:tcPr>
          <w:p w14:paraId="5BBBC57C" w14:textId="77777777" w:rsidR="00E06936" w:rsidRPr="007C0ACA" w:rsidRDefault="00E06936" w:rsidP="002856DB">
            <w:pPr>
              <w:pStyle w:val="Senseespaiat"/>
              <w:rPr>
                <w:sz w:val="32"/>
              </w:rPr>
            </w:pPr>
            <w:r w:rsidRPr="007C0ACA">
              <w:rPr>
                <w:b/>
                <w:bCs/>
                <w:sz w:val="32"/>
              </w:rPr>
              <w:t>∆G</w:t>
            </w:r>
            <w:r w:rsidRPr="007C0ACA">
              <w:rPr>
                <w:b/>
                <w:bCs/>
                <w:sz w:val="32"/>
                <w:vertAlign w:val="subscript"/>
              </w:rPr>
              <w:t>nonpolar,GB</w:t>
            </w:r>
          </w:p>
        </w:tc>
        <w:tc>
          <w:tcPr>
            <w:tcW w:w="1984"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14:paraId="4D9413F7" w14:textId="77777777" w:rsidR="00E06936" w:rsidRPr="007C0ACA" w:rsidRDefault="00E06936" w:rsidP="002856DB">
            <w:pPr>
              <w:pStyle w:val="Senseespaiat"/>
              <w:jc w:val="center"/>
              <w:rPr>
                <w:sz w:val="24"/>
                <w:szCs w:val="24"/>
              </w:rPr>
            </w:pPr>
            <w:r w:rsidRPr="007C0ACA">
              <w:rPr>
                <w:sz w:val="24"/>
                <w:szCs w:val="24"/>
              </w:rPr>
              <w:t>-13.9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44CED67A" w14:textId="77777777" w:rsidR="00E06936" w:rsidRPr="007C0ACA" w:rsidRDefault="00E06936" w:rsidP="002856DB">
            <w:pPr>
              <w:pStyle w:val="Senseespaiat"/>
              <w:jc w:val="center"/>
              <w:rPr>
                <w:sz w:val="24"/>
                <w:szCs w:val="24"/>
              </w:rPr>
            </w:pPr>
            <w:r w:rsidRPr="007C0ACA">
              <w:rPr>
                <w:sz w:val="24"/>
                <w:szCs w:val="24"/>
              </w:rPr>
              <w:t>-13.9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4E06E7CD" w14:textId="77777777" w:rsidR="00E06936" w:rsidRPr="007C0ACA" w:rsidRDefault="00E06936" w:rsidP="002856DB">
            <w:pPr>
              <w:pStyle w:val="Senseespaiat"/>
              <w:jc w:val="center"/>
              <w:rPr>
                <w:sz w:val="24"/>
                <w:szCs w:val="24"/>
              </w:rPr>
            </w:pPr>
            <w:r w:rsidRPr="007C0ACA">
              <w:rPr>
                <w:sz w:val="24"/>
                <w:szCs w:val="24"/>
              </w:rPr>
              <w:t>-17.4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79F7895F" w14:textId="77777777" w:rsidR="00E06936" w:rsidRPr="007C0ACA" w:rsidRDefault="00E06936" w:rsidP="002856DB">
            <w:pPr>
              <w:pStyle w:val="Senseespaiat"/>
              <w:jc w:val="center"/>
              <w:rPr>
                <w:sz w:val="24"/>
                <w:szCs w:val="24"/>
              </w:rPr>
            </w:pPr>
            <w:r w:rsidRPr="007C0ACA">
              <w:rPr>
                <w:sz w:val="24"/>
                <w:szCs w:val="24"/>
              </w:rPr>
              <w:t>-20.0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285E02EA" w14:textId="77777777" w:rsidR="00E06936" w:rsidRPr="007C0ACA" w:rsidRDefault="00E06936" w:rsidP="002856DB">
            <w:pPr>
              <w:pStyle w:val="Senseespaiat"/>
              <w:jc w:val="center"/>
              <w:rPr>
                <w:sz w:val="24"/>
                <w:szCs w:val="24"/>
              </w:rPr>
            </w:pPr>
            <w:r w:rsidRPr="007C0ACA">
              <w:rPr>
                <w:sz w:val="24"/>
                <w:szCs w:val="24"/>
              </w:rPr>
              <w:t>-16.8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39A29929" w14:textId="77777777" w:rsidR="00E06936" w:rsidRPr="007C0ACA" w:rsidRDefault="00E06936" w:rsidP="002856DB">
            <w:pPr>
              <w:pStyle w:val="Senseespaiat"/>
              <w:jc w:val="center"/>
              <w:rPr>
                <w:sz w:val="24"/>
                <w:szCs w:val="24"/>
              </w:rPr>
            </w:pPr>
            <w:r w:rsidRPr="007C0ACA">
              <w:rPr>
                <w:sz w:val="24"/>
                <w:szCs w:val="24"/>
              </w:rPr>
              <w:t>-18.7 ± 0.0</w:t>
            </w:r>
          </w:p>
        </w:tc>
      </w:tr>
      <w:tr w:rsidR="00E06936" w:rsidRPr="007C0ACA" w14:paraId="1A24C7E1" w14:textId="77777777" w:rsidTr="002856DB">
        <w:trPr>
          <w:trHeight w:val="510"/>
        </w:trPr>
        <w:tc>
          <w:tcPr>
            <w:tcW w:w="1984" w:type="dxa"/>
            <w:tcBorders>
              <w:top w:val="nil"/>
              <w:left w:val="nil"/>
              <w:bottom w:val="nil"/>
              <w:right w:val="single" w:sz="4" w:space="0" w:color="auto"/>
            </w:tcBorders>
            <w:shd w:val="clear" w:color="auto" w:fill="auto"/>
            <w:tcMar>
              <w:top w:w="11" w:type="dxa"/>
              <w:left w:w="11" w:type="dxa"/>
              <w:bottom w:w="0" w:type="dxa"/>
              <w:right w:w="11" w:type="dxa"/>
            </w:tcMar>
            <w:vAlign w:val="center"/>
            <w:hideMark/>
          </w:tcPr>
          <w:p w14:paraId="323AA94F" w14:textId="77777777" w:rsidR="00E06936" w:rsidRPr="007C0ACA" w:rsidRDefault="00E06936" w:rsidP="002856DB">
            <w:pPr>
              <w:pStyle w:val="Senseespaiat"/>
              <w:rPr>
                <w:sz w:val="32"/>
              </w:rPr>
            </w:pPr>
            <w:r w:rsidRPr="007C0ACA">
              <w:rPr>
                <w:b/>
                <w:bCs/>
                <w:sz w:val="32"/>
              </w:rPr>
              <w:t>∆G</w:t>
            </w:r>
            <w:r w:rsidRPr="007C0ACA">
              <w:rPr>
                <w:b/>
                <w:bCs/>
                <w:sz w:val="32"/>
                <w:vertAlign w:val="subscript"/>
              </w:rPr>
              <w:t>PB,Total</w:t>
            </w:r>
          </w:p>
        </w:tc>
        <w:tc>
          <w:tcPr>
            <w:tcW w:w="1984"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14:paraId="0F7E1C36" w14:textId="77777777" w:rsidR="00E06936" w:rsidRPr="007C0ACA" w:rsidRDefault="00E06936" w:rsidP="002856DB">
            <w:pPr>
              <w:pStyle w:val="Senseespaiat"/>
              <w:jc w:val="center"/>
              <w:rPr>
                <w:sz w:val="24"/>
                <w:szCs w:val="24"/>
              </w:rPr>
            </w:pPr>
            <w:r w:rsidRPr="007C0ACA">
              <w:rPr>
                <w:sz w:val="24"/>
                <w:szCs w:val="24"/>
              </w:rPr>
              <w:t>-94.1 ± 0.1</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740CF54B" w14:textId="77777777" w:rsidR="00E06936" w:rsidRPr="007C0ACA" w:rsidRDefault="00E06936" w:rsidP="002856DB">
            <w:pPr>
              <w:pStyle w:val="Senseespaiat"/>
              <w:jc w:val="center"/>
              <w:rPr>
                <w:sz w:val="24"/>
                <w:szCs w:val="24"/>
              </w:rPr>
            </w:pPr>
            <w:r w:rsidRPr="007C0ACA">
              <w:rPr>
                <w:sz w:val="24"/>
                <w:szCs w:val="24"/>
              </w:rPr>
              <w:t>-89.6 ± 0.1</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302B287F" w14:textId="77777777" w:rsidR="00E06936" w:rsidRPr="007C0ACA" w:rsidRDefault="00E06936" w:rsidP="002856DB">
            <w:pPr>
              <w:pStyle w:val="Senseespaiat"/>
              <w:jc w:val="center"/>
              <w:rPr>
                <w:sz w:val="24"/>
                <w:szCs w:val="24"/>
              </w:rPr>
            </w:pPr>
            <w:r w:rsidRPr="007C0ACA">
              <w:rPr>
                <w:sz w:val="24"/>
                <w:szCs w:val="24"/>
              </w:rPr>
              <w:t>-103.2 ± 0.1</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02BD597F" w14:textId="77777777" w:rsidR="00E06936" w:rsidRPr="007C0ACA" w:rsidRDefault="00E06936" w:rsidP="002856DB">
            <w:pPr>
              <w:pStyle w:val="Senseespaiat"/>
              <w:jc w:val="center"/>
              <w:rPr>
                <w:sz w:val="24"/>
                <w:szCs w:val="24"/>
              </w:rPr>
            </w:pPr>
            <w:r w:rsidRPr="007C0ACA">
              <w:rPr>
                <w:sz w:val="24"/>
                <w:szCs w:val="24"/>
              </w:rPr>
              <w:t>-143.8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351F09F2" w14:textId="77777777" w:rsidR="00E06936" w:rsidRPr="007C0ACA" w:rsidRDefault="00E06936" w:rsidP="002856DB">
            <w:pPr>
              <w:pStyle w:val="Senseespaiat"/>
              <w:jc w:val="center"/>
              <w:rPr>
                <w:sz w:val="24"/>
                <w:szCs w:val="24"/>
              </w:rPr>
            </w:pPr>
            <w:r w:rsidRPr="007C0ACA">
              <w:rPr>
                <w:sz w:val="24"/>
                <w:szCs w:val="24"/>
              </w:rPr>
              <w:t>-101.6 ± 0.1</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02CD5439" w14:textId="77777777" w:rsidR="00E06936" w:rsidRPr="007C0ACA" w:rsidRDefault="00E06936" w:rsidP="002856DB">
            <w:pPr>
              <w:pStyle w:val="Senseespaiat"/>
              <w:jc w:val="center"/>
              <w:rPr>
                <w:sz w:val="24"/>
                <w:szCs w:val="24"/>
              </w:rPr>
            </w:pPr>
            <w:r w:rsidRPr="007C0ACA">
              <w:rPr>
                <w:sz w:val="24"/>
                <w:szCs w:val="24"/>
              </w:rPr>
              <w:t>-131.5 ± 0.2</w:t>
            </w:r>
          </w:p>
        </w:tc>
      </w:tr>
      <w:tr w:rsidR="00E06936" w:rsidRPr="007C0ACA" w14:paraId="6BCE3409" w14:textId="77777777" w:rsidTr="002856DB">
        <w:trPr>
          <w:trHeight w:val="510"/>
        </w:trPr>
        <w:tc>
          <w:tcPr>
            <w:tcW w:w="1984" w:type="dxa"/>
            <w:tcBorders>
              <w:top w:val="nil"/>
              <w:left w:val="nil"/>
              <w:bottom w:val="nil"/>
              <w:right w:val="single" w:sz="4" w:space="0" w:color="auto"/>
            </w:tcBorders>
            <w:shd w:val="clear" w:color="auto" w:fill="auto"/>
            <w:tcMar>
              <w:top w:w="11" w:type="dxa"/>
              <w:left w:w="11" w:type="dxa"/>
              <w:bottom w:w="0" w:type="dxa"/>
              <w:right w:w="11" w:type="dxa"/>
            </w:tcMar>
            <w:vAlign w:val="center"/>
            <w:hideMark/>
          </w:tcPr>
          <w:p w14:paraId="1014CCEC" w14:textId="77777777" w:rsidR="00E06936" w:rsidRPr="007C0ACA" w:rsidRDefault="00E06936" w:rsidP="002856DB">
            <w:pPr>
              <w:pStyle w:val="Senseespaiat"/>
              <w:rPr>
                <w:sz w:val="32"/>
              </w:rPr>
            </w:pPr>
            <w:r w:rsidRPr="007C0ACA">
              <w:rPr>
                <w:b/>
                <w:bCs/>
                <w:sz w:val="32"/>
              </w:rPr>
              <w:t>∆G</w:t>
            </w:r>
            <w:r w:rsidRPr="007C0ACA">
              <w:rPr>
                <w:b/>
                <w:bCs/>
                <w:sz w:val="32"/>
                <w:vertAlign w:val="subscript"/>
              </w:rPr>
              <w:t>GB,Total</w:t>
            </w:r>
          </w:p>
        </w:tc>
        <w:tc>
          <w:tcPr>
            <w:tcW w:w="1984" w:type="dxa"/>
            <w:tcBorders>
              <w:top w:val="nil"/>
              <w:left w:val="single" w:sz="4" w:space="0" w:color="auto"/>
              <w:bottom w:val="nil"/>
              <w:right w:val="nil"/>
            </w:tcBorders>
            <w:shd w:val="clear" w:color="auto" w:fill="auto"/>
            <w:tcMar>
              <w:top w:w="12" w:type="dxa"/>
              <w:left w:w="12" w:type="dxa"/>
              <w:bottom w:w="0" w:type="dxa"/>
              <w:right w:w="12" w:type="dxa"/>
            </w:tcMar>
            <w:vAlign w:val="center"/>
            <w:hideMark/>
          </w:tcPr>
          <w:p w14:paraId="09063D79" w14:textId="77777777" w:rsidR="00E06936" w:rsidRPr="007C0ACA" w:rsidRDefault="00E06936" w:rsidP="002856DB">
            <w:pPr>
              <w:pStyle w:val="Senseespaiat"/>
              <w:jc w:val="center"/>
              <w:rPr>
                <w:sz w:val="24"/>
                <w:szCs w:val="24"/>
              </w:rPr>
            </w:pPr>
            <w:r w:rsidRPr="007C0ACA">
              <w:rPr>
                <w:sz w:val="24"/>
                <w:szCs w:val="24"/>
              </w:rPr>
              <w:t>-88.8 ± 0.0</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4F71063A" w14:textId="77777777" w:rsidR="00E06936" w:rsidRPr="007C0ACA" w:rsidRDefault="00E06936" w:rsidP="002856DB">
            <w:pPr>
              <w:pStyle w:val="Senseespaiat"/>
              <w:jc w:val="center"/>
              <w:rPr>
                <w:sz w:val="24"/>
                <w:szCs w:val="24"/>
              </w:rPr>
            </w:pPr>
            <w:r w:rsidRPr="007C0ACA">
              <w:rPr>
                <w:sz w:val="24"/>
                <w:szCs w:val="24"/>
              </w:rPr>
              <w:t>-90.3 ± 0.1</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3E08AC8C" w14:textId="77777777" w:rsidR="00E06936" w:rsidRPr="007C0ACA" w:rsidRDefault="00E06936" w:rsidP="002856DB">
            <w:pPr>
              <w:pStyle w:val="Senseespaiat"/>
              <w:jc w:val="center"/>
              <w:rPr>
                <w:sz w:val="24"/>
                <w:szCs w:val="24"/>
              </w:rPr>
            </w:pPr>
            <w:r w:rsidRPr="007C0ACA">
              <w:rPr>
                <w:sz w:val="24"/>
                <w:szCs w:val="24"/>
              </w:rPr>
              <w:t>-105.1 ± 0.1</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6DD049A7" w14:textId="77777777" w:rsidR="00E06936" w:rsidRPr="007C0ACA" w:rsidRDefault="00E06936" w:rsidP="002856DB">
            <w:pPr>
              <w:pStyle w:val="Senseespaiat"/>
              <w:jc w:val="center"/>
              <w:rPr>
                <w:sz w:val="24"/>
                <w:szCs w:val="24"/>
              </w:rPr>
            </w:pPr>
            <w:r w:rsidRPr="007C0ACA">
              <w:rPr>
                <w:sz w:val="24"/>
                <w:szCs w:val="24"/>
              </w:rPr>
              <w:t>-145.5 ± 0.1</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6AA680DB" w14:textId="77777777" w:rsidR="00E06936" w:rsidRPr="007C0ACA" w:rsidRDefault="00E06936" w:rsidP="002856DB">
            <w:pPr>
              <w:pStyle w:val="Senseespaiat"/>
              <w:jc w:val="center"/>
              <w:rPr>
                <w:sz w:val="24"/>
                <w:szCs w:val="24"/>
              </w:rPr>
            </w:pPr>
            <w:r w:rsidRPr="007C0ACA">
              <w:rPr>
                <w:sz w:val="24"/>
                <w:szCs w:val="24"/>
              </w:rPr>
              <w:t>-102.1 ± 0.2</w:t>
            </w:r>
          </w:p>
        </w:tc>
        <w:tc>
          <w:tcPr>
            <w:tcW w:w="1984" w:type="dxa"/>
            <w:tcBorders>
              <w:top w:val="nil"/>
              <w:left w:val="nil"/>
              <w:bottom w:val="nil"/>
              <w:right w:val="nil"/>
            </w:tcBorders>
            <w:shd w:val="clear" w:color="auto" w:fill="auto"/>
            <w:tcMar>
              <w:top w:w="12" w:type="dxa"/>
              <w:left w:w="12" w:type="dxa"/>
              <w:bottom w:w="0" w:type="dxa"/>
              <w:right w:w="12" w:type="dxa"/>
            </w:tcMar>
            <w:vAlign w:val="center"/>
            <w:hideMark/>
          </w:tcPr>
          <w:p w14:paraId="10AA2EB3" w14:textId="77777777" w:rsidR="00E06936" w:rsidRPr="007C0ACA" w:rsidRDefault="00E06936" w:rsidP="002856DB">
            <w:pPr>
              <w:pStyle w:val="Senseespaiat"/>
              <w:jc w:val="center"/>
              <w:rPr>
                <w:sz w:val="24"/>
                <w:szCs w:val="24"/>
              </w:rPr>
            </w:pPr>
            <w:r w:rsidRPr="007C0ACA">
              <w:rPr>
                <w:sz w:val="24"/>
                <w:szCs w:val="24"/>
              </w:rPr>
              <w:t>-132.1 ± 0.2</w:t>
            </w:r>
          </w:p>
        </w:tc>
      </w:tr>
      <w:tr w:rsidR="00E06936" w:rsidRPr="007C0ACA" w14:paraId="1FB7FA8E" w14:textId="77777777" w:rsidTr="002856DB">
        <w:trPr>
          <w:trHeight w:val="510"/>
        </w:trPr>
        <w:tc>
          <w:tcPr>
            <w:tcW w:w="1984" w:type="dxa"/>
            <w:tcBorders>
              <w:top w:val="nil"/>
              <w:left w:val="nil"/>
              <w:bottom w:val="single" w:sz="12" w:space="0" w:color="auto"/>
              <w:right w:val="single" w:sz="4" w:space="0" w:color="auto"/>
            </w:tcBorders>
            <w:shd w:val="clear" w:color="auto" w:fill="auto"/>
            <w:tcMar>
              <w:top w:w="11" w:type="dxa"/>
              <w:left w:w="11" w:type="dxa"/>
              <w:bottom w:w="0" w:type="dxa"/>
              <w:right w:w="11" w:type="dxa"/>
            </w:tcMar>
            <w:vAlign w:val="center"/>
            <w:hideMark/>
          </w:tcPr>
          <w:p w14:paraId="60AF2126" w14:textId="77777777" w:rsidR="00E06936" w:rsidRPr="007C0ACA" w:rsidRDefault="00E06936" w:rsidP="002856DB">
            <w:pPr>
              <w:pStyle w:val="Senseespaiat"/>
              <w:rPr>
                <w:sz w:val="32"/>
              </w:rPr>
            </w:pPr>
            <w:r w:rsidRPr="007C0ACA">
              <w:rPr>
                <w:b/>
                <w:bCs/>
                <w:sz w:val="32"/>
              </w:rPr>
              <w:t>- T∆S</w:t>
            </w:r>
          </w:p>
        </w:tc>
        <w:tc>
          <w:tcPr>
            <w:tcW w:w="1984" w:type="dxa"/>
            <w:tcBorders>
              <w:top w:val="nil"/>
              <w:left w:val="single" w:sz="4" w:space="0" w:color="auto"/>
              <w:bottom w:val="single" w:sz="12" w:space="0" w:color="auto"/>
              <w:right w:val="nil"/>
            </w:tcBorders>
            <w:shd w:val="clear" w:color="auto" w:fill="auto"/>
            <w:tcMar>
              <w:top w:w="12" w:type="dxa"/>
              <w:left w:w="12" w:type="dxa"/>
              <w:bottom w:w="0" w:type="dxa"/>
              <w:right w:w="12" w:type="dxa"/>
            </w:tcMar>
            <w:vAlign w:val="center"/>
            <w:hideMark/>
          </w:tcPr>
          <w:p w14:paraId="39978D97" w14:textId="77777777" w:rsidR="00E06936" w:rsidRPr="007C0ACA" w:rsidRDefault="00E06936" w:rsidP="002856DB">
            <w:pPr>
              <w:pStyle w:val="Senseespaiat"/>
              <w:jc w:val="center"/>
              <w:rPr>
                <w:sz w:val="24"/>
                <w:szCs w:val="24"/>
              </w:rPr>
            </w:pPr>
            <w:r w:rsidRPr="007C0ACA">
              <w:rPr>
                <w:sz w:val="24"/>
                <w:szCs w:val="24"/>
              </w:rPr>
              <w:t>45.2 ± 0.1</w:t>
            </w:r>
          </w:p>
        </w:tc>
        <w:tc>
          <w:tcPr>
            <w:tcW w:w="1984" w:type="dxa"/>
            <w:tcBorders>
              <w:top w:val="nil"/>
              <w:left w:val="nil"/>
              <w:bottom w:val="single" w:sz="12" w:space="0" w:color="auto"/>
              <w:right w:val="nil"/>
            </w:tcBorders>
            <w:shd w:val="clear" w:color="auto" w:fill="auto"/>
            <w:tcMar>
              <w:top w:w="12" w:type="dxa"/>
              <w:left w:w="12" w:type="dxa"/>
              <w:bottom w:w="0" w:type="dxa"/>
              <w:right w:w="12" w:type="dxa"/>
            </w:tcMar>
            <w:vAlign w:val="center"/>
            <w:hideMark/>
          </w:tcPr>
          <w:p w14:paraId="061FAB15" w14:textId="77777777" w:rsidR="00E06936" w:rsidRPr="007C0ACA" w:rsidRDefault="00E06936" w:rsidP="002856DB">
            <w:pPr>
              <w:pStyle w:val="Senseespaiat"/>
              <w:jc w:val="center"/>
              <w:rPr>
                <w:sz w:val="24"/>
                <w:szCs w:val="24"/>
              </w:rPr>
            </w:pPr>
            <w:r w:rsidRPr="007C0ACA">
              <w:rPr>
                <w:sz w:val="24"/>
                <w:szCs w:val="24"/>
              </w:rPr>
              <w:t>43.5 ± 0.1</w:t>
            </w:r>
          </w:p>
        </w:tc>
        <w:tc>
          <w:tcPr>
            <w:tcW w:w="1984" w:type="dxa"/>
            <w:tcBorders>
              <w:top w:val="nil"/>
              <w:left w:val="nil"/>
              <w:bottom w:val="single" w:sz="12" w:space="0" w:color="auto"/>
              <w:right w:val="nil"/>
            </w:tcBorders>
            <w:shd w:val="clear" w:color="auto" w:fill="auto"/>
            <w:tcMar>
              <w:top w:w="12" w:type="dxa"/>
              <w:left w:w="12" w:type="dxa"/>
              <w:bottom w:w="0" w:type="dxa"/>
              <w:right w:w="12" w:type="dxa"/>
            </w:tcMar>
            <w:vAlign w:val="center"/>
            <w:hideMark/>
          </w:tcPr>
          <w:p w14:paraId="07F2F436" w14:textId="77777777" w:rsidR="00E06936" w:rsidRPr="007C0ACA" w:rsidRDefault="00E06936" w:rsidP="002856DB">
            <w:pPr>
              <w:pStyle w:val="Senseespaiat"/>
              <w:jc w:val="center"/>
              <w:rPr>
                <w:sz w:val="24"/>
                <w:szCs w:val="24"/>
              </w:rPr>
            </w:pPr>
            <w:r w:rsidRPr="007C0ACA">
              <w:rPr>
                <w:sz w:val="24"/>
                <w:szCs w:val="24"/>
              </w:rPr>
              <w:t>54.9 ± 0.1</w:t>
            </w:r>
          </w:p>
        </w:tc>
        <w:tc>
          <w:tcPr>
            <w:tcW w:w="1984" w:type="dxa"/>
            <w:tcBorders>
              <w:top w:val="nil"/>
              <w:left w:val="nil"/>
              <w:bottom w:val="single" w:sz="12" w:space="0" w:color="auto"/>
              <w:right w:val="nil"/>
            </w:tcBorders>
            <w:shd w:val="clear" w:color="auto" w:fill="auto"/>
            <w:tcMar>
              <w:top w:w="12" w:type="dxa"/>
              <w:left w:w="12" w:type="dxa"/>
              <w:bottom w:w="0" w:type="dxa"/>
              <w:right w:w="12" w:type="dxa"/>
            </w:tcMar>
            <w:vAlign w:val="center"/>
            <w:hideMark/>
          </w:tcPr>
          <w:p w14:paraId="0E8F7C35" w14:textId="77777777" w:rsidR="00E06936" w:rsidRPr="007C0ACA" w:rsidRDefault="00E06936" w:rsidP="002856DB">
            <w:pPr>
              <w:pStyle w:val="Senseespaiat"/>
              <w:jc w:val="center"/>
              <w:rPr>
                <w:sz w:val="24"/>
                <w:szCs w:val="24"/>
              </w:rPr>
            </w:pPr>
            <w:r w:rsidRPr="007C0ACA">
              <w:rPr>
                <w:sz w:val="24"/>
                <w:szCs w:val="24"/>
              </w:rPr>
              <w:t>63.9 ± 0.1</w:t>
            </w:r>
          </w:p>
        </w:tc>
        <w:tc>
          <w:tcPr>
            <w:tcW w:w="1984" w:type="dxa"/>
            <w:tcBorders>
              <w:top w:val="nil"/>
              <w:left w:val="nil"/>
              <w:bottom w:val="single" w:sz="12" w:space="0" w:color="auto"/>
              <w:right w:val="nil"/>
            </w:tcBorders>
            <w:shd w:val="clear" w:color="auto" w:fill="auto"/>
            <w:tcMar>
              <w:top w:w="12" w:type="dxa"/>
              <w:left w:w="12" w:type="dxa"/>
              <w:bottom w:w="0" w:type="dxa"/>
              <w:right w:w="12" w:type="dxa"/>
            </w:tcMar>
            <w:vAlign w:val="center"/>
            <w:hideMark/>
          </w:tcPr>
          <w:p w14:paraId="319CC6C3" w14:textId="77777777" w:rsidR="00E06936" w:rsidRPr="007C0ACA" w:rsidRDefault="00E06936" w:rsidP="002856DB">
            <w:pPr>
              <w:pStyle w:val="Senseespaiat"/>
              <w:jc w:val="center"/>
              <w:rPr>
                <w:sz w:val="24"/>
                <w:szCs w:val="24"/>
              </w:rPr>
            </w:pPr>
            <w:r w:rsidRPr="007C0ACA">
              <w:rPr>
                <w:sz w:val="24"/>
                <w:szCs w:val="24"/>
              </w:rPr>
              <w:t>44.7 ± 0.1</w:t>
            </w:r>
          </w:p>
        </w:tc>
        <w:tc>
          <w:tcPr>
            <w:tcW w:w="1984" w:type="dxa"/>
            <w:tcBorders>
              <w:top w:val="nil"/>
              <w:left w:val="nil"/>
              <w:bottom w:val="single" w:sz="12" w:space="0" w:color="auto"/>
              <w:right w:val="nil"/>
            </w:tcBorders>
            <w:shd w:val="clear" w:color="auto" w:fill="auto"/>
            <w:tcMar>
              <w:top w:w="12" w:type="dxa"/>
              <w:left w:w="12" w:type="dxa"/>
              <w:bottom w:w="0" w:type="dxa"/>
              <w:right w:w="12" w:type="dxa"/>
            </w:tcMar>
            <w:vAlign w:val="center"/>
            <w:hideMark/>
          </w:tcPr>
          <w:p w14:paraId="6681E195" w14:textId="77777777" w:rsidR="00E06936" w:rsidRPr="007C0ACA" w:rsidRDefault="00E06936" w:rsidP="002856DB">
            <w:pPr>
              <w:pStyle w:val="Senseespaiat"/>
              <w:jc w:val="center"/>
              <w:rPr>
                <w:sz w:val="24"/>
                <w:szCs w:val="24"/>
              </w:rPr>
            </w:pPr>
            <w:r w:rsidRPr="007C0ACA">
              <w:rPr>
                <w:sz w:val="24"/>
                <w:szCs w:val="24"/>
              </w:rPr>
              <w:t>53.7 ± 0.2</w:t>
            </w:r>
          </w:p>
        </w:tc>
      </w:tr>
      <w:tr w:rsidR="00E06936" w:rsidRPr="007C0ACA" w14:paraId="5E823B8B" w14:textId="77777777" w:rsidTr="002856DB">
        <w:trPr>
          <w:trHeight w:val="510"/>
        </w:trPr>
        <w:tc>
          <w:tcPr>
            <w:tcW w:w="1984" w:type="dxa"/>
            <w:tcBorders>
              <w:top w:val="single" w:sz="12" w:space="0" w:color="auto"/>
              <w:left w:val="nil"/>
              <w:bottom w:val="nil"/>
              <w:right w:val="single" w:sz="4" w:space="0" w:color="auto"/>
            </w:tcBorders>
            <w:shd w:val="clear" w:color="auto" w:fill="auto"/>
            <w:tcMar>
              <w:top w:w="11" w:type="dxa"/>
              <w:left w:w="11" w:type="dxa"/>
              <w:bottom w:w="0" w:type="dxa"/>
              <w:right w:w="11" w:type="dxa"/>
            </w:tcMar>
            <w:vAlign w:val="center"/>
            <w:hideMark/>
          </w:tcPr>
          <w:p w14:paraId="7013E2DD" w14:textId="79165EF7" w:rsidR="00E06936" w:rsidRPr="007C0ACA" w:rsidRDefault="00E06936" w:rsidP="002856DB">
            <w:pPr>
              <w:pStyle w:val="Senseespaiat"/>
              <w:rPr>
                <w:sz w:val="32"/>
              </w:rPr>
            </w:pPr>
            <w:r w:rsidRPr="007C0ACA">
              <w:rPr>
                <w:b/>
                <w:bCs/>
                <w:sz w:val="32"/>
              </w:rPr>
              <w:t>∆G</w:t>
            </w:r>
            <w:r w:rsidR="004E2554" w:rsidRPr="007C0ACA">
              <w:rPr>
                <w:b/>
                <w:bCs/>
                <w:sz w:val="32"/>
                <w:vertAlign w:val="subscript"/>
              </w:rPr>
              <w:t>binding_PB</w:t>
            </w:r>
          </w:p>
        </w:tc>
        <w:tc>
          <w:tcPr>
            <w:tcW w:w="1984" w:type="dxa"/>
            <w:tcBorders>
              <w:top w:val="single" w:sz="12" w:space="0" w:color="auto"/>
              <w:left w:val="single" w:sz="4" w:space="0" w:color="auto"/>
              <w:bottom w:val="nil"/>
              <w:right w:val="nil"/>
            </w:tcBorders>
            <w:shd w:val="clear" w:color="auto" w:fill="auto"/>
            <w:tcMar>
              <w:top w:w="12" w:type="dxa"/>
              <w:left w:w="12" w:type="dxa"/>
              <w:bottom w:w="0" w:type="dxa"/>
              <w:right w:w="12" w:type="dxa"/>
            </w:tcMar>
            <w:vAlign w:val="center"/>
            <w:hideMark/>
          </w:tcPr>
          <w:p w14:paraId="45F32ADA" w14:textId="77777777" w:rsidR="00E06936" w:rsidRPr="007C0ACA" w:rsidRDefault="00E06936" w:rsidP="002856DB">
            <w:pPr>
              <w:pStyle w:val="Senseespaiat"/>
              <w:jc w:val="center"/>
              <w:rPr>
                <w:b/>
                <w:sz w:val="24"/>
                <w:szCs w:val="24"/>
              </w:rPr>
            </w:pPr>
            <w:r w:rsidRPr="007C0ACA">
              <w:rPr>
                <w:b/>
                <w:sz w:val="24"/>
                <w:szCs w:val="24"/>
              </w:rPr>
              <w:t>-48.9 ± 0.2</w:t>
            </w:r>
          </w:p>
        </w:tc>
        <w:tc>
          <w:tcPr>
            <w:tcW w:w="1984"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1CBFBCB2" w14:textId="77777777" w:rsidR="00E06936" w:rsidRPr="007C0ACA" w:rsidRDefault="00E06936" w:rsidP="002856DB">
            <w:pPr>
              <w:pStyle w:val="Senseespaiat"/>
              <w:jc w:val="center"/>
              <w:rPr>
                <w:b/>
                <w:sz w:val="24"/>
                <w:szCs w:val="24"/>
              </w:rPr>
            </w:pPr>
            <w:r w:rsidRPr="007C0ACA">
              <w:rPr>
                <w:b/>
                <w:sz w:val="24"/>
                <w:szCs w:val="24"/>
              </w:rPr>
              <w:t>-46.1 ± 0.2</w:t>
            </w:r>
          </w:p>
        </w:tc>
        <w:tc>
          <w:tcPr>
            <w:tcW w:w="1984"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02B6C7CB" w14:textId="77777777" w:rsidR="00E06936" w:rsidRPr="007C0ACA" w:rsidRDefault="00E06936" w:rsidP="002856DB">
            <w:pPr>
              <w:pStyle w:val="Senseespaiat"/>
              <w:jc w:val="center"/>
              <w:rPr>
                <w:b/>
                <w:sz w:val="24"/>
                <w:szCs w:val="24"/>
              </w:rPr>
            </w:pPr>
            <w:r w:rsidRPr="007C0ACA">
              <w:rPr>
                <w:b/>
                <w:sz w:val="24"/>
                <w:szCs w:val="24"/>
              </w:rPr>
              <w:t>-48.3 ± 0.2</w:t>
            </w:r>
          </w:p>
        </w:tc>
        <w:tc>
          <w:tcPr>
            <w:tcW w:w="1984"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391B6308" w14:textId="77777777" w:rsidR="00E06936" w:rsidRPr="007C0ACA" w:rsidRDefault="00E06936" w:rsidP="002856DB">
            <w:pPr>
              <w:pStyle w:val="Senseespaiat"/>
              <w:jc w:val="center"/>
              <w:rPr>
                <w:b/>
                <w:sz w:val="24"/>
                <w:szCs w:val="24"/>
              </w:rPr>
            </w:pPr>
            <w:r w:rsidRPr="007C0ACA">
              <w:rPr>
                <w:b/>
                <w:sz w:val="24"/>
                <w:szCs w:val="24"/>
              </w:rPr>
              <w:t>-79.9 ± 0.1</w:t>
            </w:r>
          </w:p>
        </w:tc>
        <w:tc>
          <w:tcPr>
            <w:tcW w:w="1984"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6AB2EACB" w14:textId="77777777" w:rsidR="00E06936" w:rsidRPr="007C0ACA" w:rsidRDefault="00E06936" w:rsidP="002856DB">
            <w:pPr>
              <w:pStyle w:val="Senseespaiat"/>
              <w:jc w:val="center"/>
              <w:rPr>
                <w:b/>
                <w:sz w:val="24"/>
                <w:szCs w:val="24"/>
              </w:rPr>
            </w:pPr>
            <w:r w:rsidRPr="007C0ACA">
              <w:rPr>
                <w:b/>
                <w:sz w:val="24"/>
                <w:szCs w:val="24"/>
              </w:rPr>
              <w:t>-56.8 ± 0.2</w:t>
            </w:r>
          </w:p>
        </w:tc>
        <w:tc>
          <w:tcPr>
            <w:tcW w:w="1984" w:type="dxa"/>
            <w:tcBorders>
              <w:top w:val="single" w:sz="12" w:space="0" w:color="auto"/>
              <w:left w:val="nil"/>
              <w:bottom w:val="nil"/>
              <w:right w:val="nil"/>
            </w:tcBorders>
            <w:shd w:val="clear" w:color="auto" w:fill="auto"/>
            <w:tcMar>
              <w:top w:w="12" w:type="dxa"/>
              <w:left w:w="12" w:type="dxa"/>
              <w:bottom w:w="0" w:type="dxa"/>
              <w:right w:w="12" w:type="dxa"/>
            </w:tcMar>
            <w:vAlign w:val="center"/>
            <w:hideMark/>
          </w:tcPr>
          <w:p w14:paraId="6CE66A20" w14:textId="77777777" w:rsidR="00E06936" w:rsidRPr="007C0ACA" w:rsidRDefault="00E06936" w:rsidP="002856DB">
            <w:pPr>
              <w:pStyle w:val="Senseespaiat"/>
              <w:jc w:val="center"/>
              <w:rPr>
                <w:b/>
                <w:sz w:val="24"/>
                <w:szCs w:val="24"/>
              </w:rPr>
            </w:pPr>
            <w:r w:rsidRPr="007C0ACA">
              <w:rPr>
                <w:b/>
                <w:sz w:val="24"/>
                <w:szCs w:val="24"/>
              </w:rPr>
              <w:t>-77.9 ± 0.4</w:t>
            </w:r>
          </w:p>
        </w:tc>
      </w:tr>
      <w:tr w:rsidR="00E06936" w:rsidRPr="007C0ACA" w14:paraId="0B27A6E6" w14:textId="77777777" w:rsidTr="002856DB">
        <w:trPr>
          <w:trHeight w:val="510"/>
        </w:trPr>
        <w:tc>
          <w:tcPr>
            <w:tcW w:w="1984" w:type="dxa"/>
            <w:tcBorders>
              <w:top w:val="nil"/>
              <w:left w:val="nil"/>
              <w:bottom w:val="single" w:sz="18" w:space="0" w:color="000000"/>
              <w:right w:val="single" w:sz="4" w:space="0" w:color="auto"/>
            </w:tcBorders>
            <w:shd w:val="clear" w:color="auto" w:fill="auto"/>
            <w:tcMar>
              <w:top w:w="11" w:type="dxa"/>
              <w:left w:w="11" w:type="dxa"/>
              <w:bottom w:w="0" w:type="dxa"/>
              <w:right w:w="11" w:type="dxa"/>
            </w:tcMar>
            <w:vAlign w:val="center"/>
            <w:hideMark/>
          </w:tcPr>
          <w:p w14:paraId="45332F51" w14:textId="7B8AFF86" w:rsidR="00E06936" w:rsidRPr="007C0ACA" w:rsidRDefault="00E06936" w:rsidP="002856DB">
            <w:pPr>
              <w:pStyle w:val="Senseespaiat"/>
              <w:rPr>
                <w:sz w:val="32"/>
              </w:rPr>
            </w:pPr>
            <w:r w:rsidRPr="007C0ACA">
              <w:rPr>
                <w:b/>
                <w:bCs/>
                <w:sz w:val="32"/>
              </w:rPr>
              <w:t>∆G</w:t>
            </w:r>
            <w:r w:rsidR="004E2554" w:rsidRPr="007C0ACA">
              <w:rPr>
                <w:b/>
                <w:bCs/>
                <w:sz w:val="32"/>
                <w:vertAlign w:val="subscript"/>
              </w:rPr>
              <w:t>binding_GB</w:t>
            </w:r>
          </w:p>
        </w:tc>
        <w:tc>
          <w:tcPr>
            <w:tcW w:w="1984" w:type="dxa"/>
            <w:tcBorders>
              <w:top w:val="nil"/>
              <w:left w:val="single" w:sz="4" w:space="0" w:color="auto"/>
              <w:bottom w:val="single" w:sz="18" w:space="0" w:color="000000"/>
              <w:right w:val="nil"/>
            </w:tcBorders>
            <w:shd w:val="clear" w:color="auto" w:fill="auto"/>
            <w:tcMar>
              <w:top w:w="12" w:type="dxa"/>
              <w:left w:w="12" w:type="dxa"/>
              <w:bottom w:w="0" w:type="dxa"/>
              <w:right w:w="12" w:type="dxa"/>
            </w:tcMar>
            <w:vAlign w:val="center"/>
            <w:hideMark/>
          </w:tcPr>
          <w:p w14:paraId="57AB1EE0" w14:textId="77777777" w:rsidR="00E06936" w:rsidRPr="007C0ACA" w:rsidRDefault="00E06936" w:rsidP="002856DB">
            <w:pPr>
              <w:pStyle w:val="Senseespaiat"/>
              <w:jc w:val="center"/>
              <w:rPr>
                <w:b/>
                <w:sz w:val="24"/>
                <w:szCs w:val="24"/>
              </w:rPr>
            </w:pPr>
            <w:r w:rsidRPr="007C0ACA">
              <w:rPr>
                <w:b/>
                <w:sz w:val="24"/>
                <w:szCs w:val="24"/>
              </w:rPr>
              <w:t>-43.6 ± 0.1</w:t>
            </w:r>
          </w:p>
        </w:tc>
        <w:tc>
          <w:tcPr>
            <w:tcW w:w="1984"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5ACC5928" w14:textId="77777777" w:rsidR="00E06936" w:rsidRPr="007C0ACA" w:rsidRDefault="00E06936" w:rsidP="002856DB">
            <w:pPr>
              <w:pStyle w:val="Senseespaiat"/>
              <w:jc w:val="center"/>
              <w:rPr>
                <w:b/>
                <w:sz w:val="24"/>
                <w:szCs w:val="24"/>
              </w:rPr>
            </w:pPr>
            <w:r w:rsidRPr="007C0ACA">
              <w:rPr>
                <w:b/>
                <w:sz w:val="24"/>
                <w:szCs w:val="24"/>
              </w:rPr>
              <w:t>-46.8 ± 0.2</w:t>
            </w:r>
          </w:p>
        </w:tc>
        <w:tc>
          <w:tcPr>
            <w:tcW w:w="1984"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6C852EF1" w14:textId="77777777" w:rsidR="00E06936" w:rsidRPr="007C0ACA" w:rsidRDefault="00E06936" w:rsidP="002856DB">
            <w:pPr>
              <w:pStyle w:val="Senseespaiat"/>
              <w:jc w:val="center"/>
              <w:rPr>
                <w:b/>
                <w:sz w:val="24"/>
                <w:szCs w:val="24"/>
              </w:rPr>
            </w:pPr>
            <w:r w:rsidRPr="007C0ACA">
              <w:rPr>
                <w:b/>
                <w:sz w:val="24"/>
                <w:szCs w:val="24"/>
              </w:rPr>
              <w:t>-50.2 ± 0.2</w:t>
            </w:r>
          </w:p>
        </w:tc>
        <w:tc>
          <w:tcPr>
            <w:tcW w:w="1984"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4C66C478" w14:textId="77777777" w:rsidR="00E06936" w:rsidRPr="007C0ACA" w:rsidRDefault="00E06936" w:rsidP="002856DB">
            <w:pPr>
              <w:pStyle w:val="Senseespaiat"/>
              <w:jc w:val="center"/>
              <w:rPr>
                <w:b/>
                <w:sz w:val="24"/>
                <w:szCs w:val="24"/>
              </w:rPr>
            </w:pPr>
            <w:r w:rsidRPr="007C0ACA">
              <w:rPr>
                <w:b/>
                <w:sz w:val="24"/>
                <w:szCs w:val="24"/>
              </w:rPr>
              <w:t>-81.6 ± 0.2</w:t>
            </w:r>
          </w:p>
        </w:tc>
        <w:tc>
          <w:tcPr>
            <w:tcW w:w="1984"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1D8BFF3F" w14:textId="77777777" w:rsidR="00E06936" w:rsidRPr="007C0ACA" w:rsidRDefault="00E06936" w:rsidP="002856DB">
            <w:pPr>
              <w:pStyle w:val="Senseespaiat"/>
              <w:jc w:val="center"/>
              <w:rPr>
                <w:b/>
                <w:sz w:val="24"/>
                <w:szCs w:val="24"/>
              </w:rPr>
            </w:pPr>
            <w:r w:rsidRPr="007C0ACA">
              <w:rPr>
                <w:b/>
                <w:sz w:val="24"/>
                <w:szCs w:val="24"/>
              </w:rPr>
              <w:t>-57.4 ± 0.3</w:t>
            </w:r>
          </w:p>
        </w:tc>
        <w:tc>
          <w:tcPr>
            <w:tcW w:w="1984" w:type="dxa"/>
            <w:tcBorders>
              <w:top w:val="nil"/>
              <w:left w:val="nil"/>
              <w:bottom w:val="single" w:sz="18" w:space="0" w:color="000000"/>
              <w:right w:val="nil"/>
            </w:tcBorders>
            <w:shd w:val="clear" w:color="auto" w:fill="auto"/>
            <w:tcMar>
              <w:top w:w="12" w:type="dxa"/>
              <w:left w:w="12" w:type="dxa"/>
              <w:bottom w:w="0" w:type="dxa"/>
              <w:right w:w="12" w:type="dxa"/>
            </w:tcMar>
            <w:vAlign w:val="center"/>
            <w:hideMark/>
          </w:tcPr>
          <w:p w14:paraId="1ECBCA96" w14:textId="77777777" w:rsidR="00E06936" w:rsidRPr="007C0ACA" w:rsidRDefault="00E06936" w:rsidP="002856DB">
            <w:pPr>
              <w:pStyle w:val="Senseespaiat"/>
              <w:jc w:val="center"/>
              <w:rPr>
                <w:b/>
                <w:sz w:val="24"/>
                <w:szCs w:val="24"/>
              </w:rPr>
            </w:pPr>
            <w:r w:rsidRPr="007C0ACA">
              <w:rPr>
                <w:b/>
                <w:sz w:val="24"/>
                <w:szCs w:val="24"/>
              </w:rPr>
              <w:t>-78.4 ± 0.4</w:t>
            </w:r>
          </w:p>
        </w:tc>
      </w:tr>
    </w:tbl>
    <w:p w14:paraId="0B3A8732" w14:textId="7E37D8D0" w:rsidR="00E06936" w:rsidRPr="007C0ACA" w:rsidRDefault="00E06936" w:rsidP="002B513B">
      <w:pPr>
        <w:jc w:val="both"/>
      </w:pPr>
      <w:r w:rsidRPr="007C0ACA">
        <w:rPr>
          <w:bCs/>
        </w:rPr>
        <w:t xml:space="preserve">Table 2. Contribution of the different energy terms and total binding free energies (kcal/mol) </w:t>
      </w:r>
      <w:r w:rsidR="002856DB" w:rsidRPr="007C0ACA">
        <w:rPr>
          <w:bCs/>
        </w:rPr>
        <w:t>for</w:t>
      </w:r>
      <w:r w:rsidRPr="007C0ACA">
        <w:rPr>
          <w:bCs/>
        </w:rPr>
        <w:t xml:space="preserve"> the different Bak</w:t>
      </w:r>
      <w:r w:rsidR="002856DB" w:rsidRPr="007C0ACA">
        <w:rPr>
          <w:bCs/>
        </w:rPr>
        <w:t>-X</w:t>
      </w:r>
      <w:r w:rsidRPr="007C0ACA">
        <w:rPr>
          <w:bCs/>
        </w:rPr>
        <w:t xml:space="preserve"> complexes </w:t>
      </w:r>
      <w:r w:rsidR="002856DB" w:rsidRPr="007C0ACA">
        <w:rPr>
          <w:bCs/>
        </w:rPr>
        <w:t xml:space="preserve">(X= Bid, BidAib2, Bim, Bim(h3Pc), Bim (active) and Bim(h3Pc) (active)) </w:t>
      </w:r>
      <w:r w:rsidRPr="007C0ACA">
        <w:rPr>
          <w:bCs/>
        </w:rPr>
        <w:t>obtained by MMPBSA and MMGBSA in the last 50 ns of molecular dynamics.</w:t>
      </w:r>
      <w:r w:rsidR="00C813C0" w:rsidRPr="007C0ACA">
        <w:rPr>
          <w:bCs/>
        </w:rPr>
        <w:t xml:space="preserve"> Final binding energy in bold.</w:t>
      </w:r>
      <w:r w:rsidRPr="007C0ACA">
        <w:rPr>
          <w:bCs/>
        </w:rPr>
        <w:t xml:space="preserve"> Standard deviation of the mean is shown.</w:t>
      </w:r>
    </w:p>
    <w:p w14:paraId="1B641EFB" w14:textId="2D123946" w:rsidR="00E06936" w:rsidRPr="007C0ACA" w:rsidRDefault="00E06936" w:rsidP="00E06936">
      <w:pPr>
        <w:tabs>
          <w:tab w:val="left" w:pos="7396"/>
        </w:tabs>
      </w:pPr>
    </w:p>
    <w:p w14:paraId="2D16C481" w14:textId="77777777" w:rsidR="00BF70CD" w:rsidRPr="007C0ACA" w:rsidRDefault="00BF70CD" w:rsidP="00E06936">
      <w:pPr>
        <w:tabs>
          <w:tab w:val="left" w:pos="7396"/>
        </w:tabs>
        <w:sectPr w:rsidR="00BF70CD" w:rsidRPr="007C0ACA" w:rsidSect="00E06936">
          <w:pgSz w:w="16838" w:h="11906" w:orient="landscape"/>
          <w:pgMar w:top="1440" w:right="1440" w:bottom="1440" w:left="1440" w:header="708" w:footer="708" w:gutter="0"/>
          <w:cols w:space="708"/>
          <w:docGrid w:linePitch="360"/>
        </w:sectPr>
      </w:pPr>
    </w:p>
    <w:p w14:paraId="4A8C515E" w14:textId="6A89207F" w:rsidR="00FA70AD" w:rsidRPr="007C0ACA" w:rsidRDefault="00FA70AD" w:rsidP="002B2FF0">
      <w:pPr>
        <w:jc w:val="both"/>
        <w:rPr>
          <w:rFonts w:hAnsi="Calibri"/>
          <w:b/>
          <w:bCs/>
          <w:color w:val="000000" w:themeColor="text1"/>
          <w:kern w:val="24"/>
          <w:sz w:val="28"/>
          <w:szCs w:val="36"/>
        </w:rPr>
      </w:pPr>
      <w:r w:rsidRPr="007C0ACA">
        <w:rPr>
          <w:rFonts w:hAnsi="Calibri"/>
          <w:b/>
          <w:bCs/>
          <w:color w:val="000000" w:themeColor="text1"/>
          <w:kern w:val="24"/>
          <w:sz w:val="28"/>
          <w:szCs w:val="36"/>
        </w:rPr>
        <w:lastRenderedPageBreak/>
        <w:t xml:space="preserve">Caption </w:t>
      </w:r>
      <w:r w:rsidR="00BF7686" w:rsidRPr="007C0ACA">
        <w:rPr>
          <w:rFonts w:hAnsi="Calibri"/>
          <w:b/>
          <w:bCs/>
          <w:color w:val="000000" w:themeColor="text1"/>
          <w:kern w:val="24"/>
          <w:sz w:val="28"/>
          <w:szCs w:val="36"/>
        </w:rPr>
        <w:t>to</w:t>
      </w:r>
      <w:r w:rsidRPr="007C0ACA">
        <w:rPr>
          <w:rFonts w:hAnsi="Calibri"/>
          <w:b/>
          <w:bCs/>
          <w:color w:val="000000" w:themeColor="text1"/>
          <w:kern w:val="24"/>
          <w:sz w:val="28"/>
          <w:szCs w:val="36"/>
        </w:rPr>
        <w:t xml:space="preserve"> Figures</w:t>
      </w:r>
    </w:p>
    <w:p w14:paraId="03A4999E" w14:textId="77777777" w:rsidR="00FA70AD" w:rsidRPr="007C0ACA" w:rsidRDefault="00FA70AD" w:rsidP="002B2FF0">
      <w:pPr>
        <w:jc w:val="both"/>
        <w:rPr>
          <w:rFonts w:hAnsi="Calibri"/>
          <w:bCs/>
          <w:color w:val="000000" w:themeColor="text1"/>
          <w:kern w:val="24"/>
          <w:szCs w:val="36"/>
        </w:rPr>
      </w:pPr>
    </w:p>
    <w:p w14:paraId="4AD57962" w14:textId="041A6515" w:rsidR="002B2FF0" w:rsidRPr="007C0ACA" w:rsidRDefault="002B2FF0" w:rsidP="002B2FF0">
      <w:pPr>
        <w:jc w:val="both"/>
        <w:rPr>
          <w:sz w:val="16"/>
          <w:szCs w:val="24"/>
        </w:rPr>
      </w:pPr>
      <w:r w:rsidRPr="007C0ACA">
        <w:rPr>
          <w:rFonts w:hAnsi="Calibri"/>
          <w:bCs/>
          <w:color w:val="000000" w:themeColor="text1"/>
          <w:kern w:val="24"/>
          <w:szCs w:val="36"/>
        </w:rPr>
        <w:t xml:space="preserve">Figure 1: Crystal structure of Bak in complex with a BH3-only peptide. </w:t>
      </w:r>
      <w:r w:rsidRPr="007C0ACA">
        <w:rPr>
          <w:rFonts w:hAnsi="Calibri"/>
          <w:bCs/>
          <w:i/>
          <w:color w:val="000000" w:themeColor="text1"/>
          <w:kern w:val="24"/>
          <w:szCs w:val="36"/>
        </w:rPr>
        <w:t>Core</w:t>
      </w:r>
      <w:r w:rsidRPr="007C0ACA">
        <w:rPr>
          <w:rFonts w:hAnsi="Calibri"/>
          <w:bCs/>
          <w:color w:val="000000" w:themeColor="text1"/>
          <w:kern w:val="24"/>
          <w:szCs w:val="36"/>
        </w:rPr>
        <w:t xml:space="preserve"> domain is formed by helices α2, α3, α4 and α5, and </w:t>
      </w:r>
      <w:r w:rsidRPr="007C0ACA">
        <w:rPr>
          <w:rFonts w:hAnsi="Calibri"/>
          <w:bCs/>
          <w:i/>
          <w:color w:val="000000" w:themeColor="text1"/>
          <w:kern w:val="24"/>
          <w:szCs w:val="36"/>
        </w:rPr>
        <w:t>latch</w:t>
      </w:r>
      <w:r w:rsidRPr="007C0ACA">
        <w:rPr>
          <w:rFonts w:hAnsi="Calibri"/>
          <w:bCs/>
          <w:color w:val="000000" w:themeColor="text1"/>
          <w:kern w:val="24"/>
          <w:szCs w:val="36"/>
        </w:rPr>
        <w:t xml:space="preserve"> domain is formed by α6, α7 and α8. Full length pro-apoptotic Bak has 9 α-helices but α9, which is the transmembrane helix, has not been crystalized. (A) Bak on its soluble or globular form in complex with a BH3-only peptide. (B) Bak in complex with a BH3-only peptide in a conformation of the early activation steps, with the two domains, </w:t>
      </w:r>
      <w:r w:rsidRPr="007C0ACA">
        <w:rPr>
          <w:rFonts w:hAnsi="Calibri"/>
          <w:bCs/>
          <w:i/>
          <w:color w:val="000000" w:themeColor="text1"/>
          <w:kern w:val="24"/>
          <w:szCs w:val="36"/>
        </w:rPr>
        <w:t>core</w:t>
      </w:r>
      <w:r w:rsidRPr="007C0ACA">
        <w:rPr>
          <w:rFonts w:hAnsi="Calibri"/>
          <w:bCs/>
          <w:color w:val="000000" w:themeColor="text1"/>
          <w:kern w:val="24"/>
          <w:szCs w:val="36"/>
        </w:rPr>
        <w:t xml:space="preserve"> and </w:t>
      </w:r>
      <w:r w:rsidRPr="007C0ACA">
        <w:rPr>
          <w:rFonts w:hAnsi="Calibri"/>
          <w:bCs/>
          <w:i/>
          <w:color w:val="000000" w:themeColor="text1"/>
          <w:kern w:val="24"/>
          <w:szCs w:val="36"/>
        </w:rPr>
        <w:t>latch</w:t>
      </w:r>
      <w:r w:rsidRPr="007C0ACA">
        <w:rPr>
          <w:rFonts w:hAnsi="Calibri"/>
          <w:bCs/>
          <w:color w:val="000000" w:themeColor="text1"/>
          <w:kern w:val="24"/>
          <w:szCs w:val="36"/>
        </w:rPr>
        <w:t>, separated.</w:t>
      </w:r>
    </w:p>
    <w:p w14:paraId="7A9E70CD" w14:textId="77777777" w:rsidR="002B2FF0" w:rsidRPr="007C0ACA" w:rsidRDefault="002B2FF0" w:rsidP="002B2FF0">
      <w:pPr>
        <w:jc w:val="both"/>
      </w:pPr>
    </w:p>
    <w:p w14:paraId="2B5A5E43" w14:textId="77777777" w:rsidR="002B2FF0" w:rsidRPr="007C0ACA" w:rsidRDefault="002B2FF0" w:rsidP="002B2FF0">
      <w:pPr>
        <w:jc w:val="both"/>
      </w:pPr>
      <w:r w:rsidRPr="007C0ACA">
        <w:rPr>
          <w:bCs/>
        </w:rPr>
        <w:t>Figure 2: Average Root-Mean Square Deviation (Å) of three molecular dynamics simulations as a function of time from backbone atoms in the complexes between Bak and BH3-only peptides. In red, Bak complex with Bid; in blue in complex with BidAib</w:t>
      </w:r>
      <w:r w:rsidRPr="007C0ACA">
        <w:rPr>
          <w:bCs/>
          <w:vertAlign w:val="subscript"/>
        </w:rPr>
        <w:t>2</w:t>
      </w:r>
      <w:r w:rsidRPr="007C0ACA">
        <w:rPr>
          <w:bCs/>
        </w:rPr>
        <w:t>; in green with Bim; and in yellow, Bim(h3Pc). Active conformations from Bim and Bim(h3Pc) are represented in grey and orange, respectively.</w:t>
      </w:r>
    </w:p>
    <w:p w14:paraId="44DEF87F" w14:textId="77777777" w:rsidR="002B2FF0" w:rsidRPr="007C0ACA" w:rsidRDefault="002B2FF0" w:rsidP="002B2FF0">
      <w:pPr>
        <w:jc w:val="both"/>
      </w:pPr>
    </w:p>
    <w:p w14:paraId="38EFF6E8" w14:textId="77777777" w:rsidR="002B2FF0" w:rsidRPr="007C0ACA" w:rsidRDefault="002B2FF0" w:rsidP="002B2FF0">
      <w:pPr>
        <w:jc w:val="both"/>
      </w:pPr>
      <w:r w:rsidRPr="007C0ACA">
        <w:rPr>
          <w:bCs/>
        </w:rPr>
        <w:t>Figure 3: Average Root-Mean Square Fluctuation (Å) from backbone atoms of three molecular dynamics simulations as a function of Bak residues in the complexes between Bak and BH3-only peptides. In red, Bak complex with Bid; in blue in complex with BidAib</w:t>
      </w:r>
      <w:r w:rsidRPr="007C0ACA">
        <w:rPr>
          <w:bCs/>
          <w:vertAlign w:val="subscript"/>
        </w:rPr>
        <w:t>2</w:t>
      </w:r>
      <w:r w:rsidRPr="007C0ACA">
        <w:rPr>
          <w:bCs/>
        </w:rPr>
        <w:t>; in green with Bim; and in yellow, Bim(h3Pc). Active conformations from Bim and Bim(h3Pc) are represented in grey and orange, respectively.</w:t>
      </w:r>
    </w:p>
    <w:p w14:paraId="68DFE2CB" w14:textId="77777777" w:rsidR="002B2FF0" w:rsidRPr="007C0ACA" w:rsidRDefault="002B2FF0" w:rsidP="002B2FF0">
      <w:pPr>
        <w:jc w:val="both"/>
      </w:pPr>
    </w:p>
    <w:p w14:paraId="700C6EA5" w14:textId="77777777" w:rsidR="002B2FF0" w:rsidRPr="007C0ACA" w:rsidRDefault="002B2FF0" w:rsidP="002B2FF0">
      <w:pPr>
        <w:jc w:val="both"/>
      </w:pPr>
      <w:r w:rsidRPr="007C0ACA">
        <w:rPr>
          <w:bCs/>
        </w:rPr>
        <w:t>Figure 4: Principal Component Fluctuation (Å</w:t>
      </w:r>
      <w:r w:rsidRPr="007C0ACA">
        <w:rPr>
          <w:bCs/>
          <w:vertAlign w:val="superscript"/>
        </w:rPr>
        <w:t>2</w:t>
      </w:r>
      <w:r w:rsidRPr="007C0ACA">
        <w:rPr>
          <w:bCs/>
        </w:rPr>
        <w:t>) from Bak residues in the globular form. In red, fluctuation of Bak residues in complex with Bim, and in blue, fluctuation of Bak residues in complex with Bim(h3Pc). In both cases, each Principal Component (PC) illustrates the square summation of the PCs of residues and all the previous ones. (A) Square summation of all atoms fluctuation from helix α1. (B) Square summation of the fluctuation from all residues from helix α2. (C)  Square summation of all residues fluctuation from helix α3. (D) Square summation of the fluctuation from all residues from helix α5.</w:t>
      </w:r>
    </w:p>
    <w:p w14:paraId="27FD952C" w14:textId="77777777" w:rsidR="002B2FF0" w:rsidRPr="007C0ACA" w:rsidRDefault="002B2FF0" w:rsidP="002B2FF0">
      <w:pPr>
        <w:jc w:val="both"/>
      </w:pPr>
    </w:p>
    <w:p w14:paraId="46507BBF" w14:textId="77777777" w:rsidR="002B2FF0" w:rsidRPr="007C0ACA" w:rsidRDefault="002B2FF0" w:rsidP="002B2FF0">
      <w:pPr>
        <w:jc w:val="both"/>
      </w:pPr>
      <w:r w:rsidRPr="007C0ACA">
        <w:rPr>
          <w:bCs/>
        </w:rPr>
        <w:t>Figure 5: Principal Component Fluctuation (Å</w:t>
      </w:r>
      <w:r w:rsidRPr="007C0ACA">
        <w:rPr>
          <w:bCs/>
          <w:vertAlign w:val="superscript"/>
        </w:rPr>
        <w:t>2</w:t>
      </w:r>
      <w:r w:rsidRPr="007C0ACA">
        <w:rPr>
          <w:bCs/>
        </w:rPr>
        <w:t>) from Bak residues in the active conformations. In red, fluctuation of Bak residues in complex with Bim, and in blue, fluctuation of Bak residues in complex with Bim(h3Pc). In both cases, each Principal Component (PC) illustrates the square summation of the PCs of residues and all the previous ones. (A) Square summation of all atoms fluctuation from helix α1. (B) Square summation of the fluctuation from all residues from helix α2. (C)  Square summation of all residues fluctuation from helix α3. (D) Square summation of the fluctuation from all residues from helix α5.</w:t>
      </w:r>
    </w:p>
    <w:p w14:paraId="18A82229" w14:textId="77777777" w:rsidR="002B2FF0" w:rsidRPr="007C0ACA" w:rsidRDefault="002B2FF0" w:rsidP="002B2FF0">
      <w:pPr>
        <w:jc w:val="both"/>
      </w:pPr>
    </w:p>
    <w:p w14:paraId="05333539" w14:textId="77777777" w:rsidR="002B2FF0" w:rsidRPr="007C0ACA" w:rsidRDefault="002B2FF0" w:rsidP="002B2FF0">
      <w:pPr>
        <w:jc w:val="both"/>
      </w:pPr>
      <w:r w:rsidRPr="007C0ACA">
        <w:rPr>
          <w:bCs/>
        </w:rPr>
        <w:t>Figure 6: Average Total ∆G (kcal/mol) from Bak residues of three molecular dynamics simulations in the complexes between Bak and BH3-only peptides. In red, Bak complex with Bid; in blue, in complex with BidAib</w:t>
      </w:r>
      <w:r w:rsidRPr="007C0ACA">
        <w:rPr>
          <w:bCs/>
          <w:vertAlign w:val="subscript"/>
        </w:rPr>
        <w:t>2</w:t>
      </w:r>
      <w:r w:rsidRPr="007C0ACA">
        <w:rPr>
          <w:bCs/>
        </w:rPr>
        <w:t>; in green, with Bim; and in yellow, Bim(h3Pc). Active conformations from Bim and Bim(h3Pc) are represented in grey and orange, respectively.</w:t>
      </w:r>
    </w:p>
    <w:p w14:paraId="188D7346" w14:textId="77777777" w:rsidR="002B2FF0" w:rsidRPr="007C0ACA" w:rsidRDefault="002B2FF0" w:rsidP="002B2FF0">
      <w:pPr>
        <w:jc w:val="both"/>
      </w:pPr>
    </w:p>
    <w:p w14:paraId="058BF450" w14:textId="77777777" w:rsidR="002B2FF0" w:rsidRPr="007C0ACA" w:rsidRDefault="002B2FF0" w:rsidP="002B2FF0">
      <w:pPr>
        <w:jc w:val="both"/>
      </w:pPr>
      <w:r w:rsidRPr="007C0ACA">
        <w:lastRenderedPageBreak/>
        <w:t xml:space="preserve">Figure 7: Interaction site from residue 9R1 155 from Bim(h3Pc). Pro-apoptotic protein Bak is represented in green and BH3 peptide Bim(h3Pc) in blue. Residues from Bak involved in the hydrogen bond with 9R1 are R42, N86 and R137. </w:t>
      </w:r>
    </w:p>
    <w:p w14:paraId="65285729" w14:textId="77777777" w:rsidR="002B2FF0" w:rsidRPr="007C0ACA" w:rsidRDefault="002B2FF0" w:rsidP="002B2FF0">
      <w:pPr>
        <w:jc w:val="both"/>
      </w:pPr>
    </w:p>
    <w:p w14:paraId="57A49F47" w14:textId="77777777" w:rsidR="002B2FF0" w:rsidRPr="007C0ACA" w:rsidRDefault="002B2FF0" w:rsidP="002B2FF0">
      <w:pPr>
        <w:jc w:val="both"/>
      </w:pPr>
      <w:r w:rsidRPr="007C0ACA">
        <w:rPr>
          <w:bCs/>
        </w:rPr>
        <w:t>Figure 8: Pharmacophore representation of the interaction between Bak and BH3-only peptides Bim and Bim(h3Pc) on its inactive and active conformations. Light grey and light red are used for molecular features of the inactive conformations, while dark grey and dark red are used for features in the active conformations. (A) Comparison between Bak/Bim complexes on its inactive and active form. (B) Comparison between Bak/Bim(h3Pc) complexes on its inactive and active form.</w:t>
      </w:r>
    </w:p>
    <w:p w14:paraId="617F4966" w14:textId="77777777" w:rsidR="002B2FF0" w:rsidRPr="007C0ACA" w:rsidRDefault="002B2FF0" w:rsidP="002B2FF0">
      <w:pPr>
        <w:jc w:val="both"/>
      </w:pPr>
    </w:p>
    <w:p w14:paraId="66C2A33D" w14:textId="3C5E8D25" w:rsidR="00E06936" w:rsidRPr="007C0ACA" w:rsidRDefault="00E06936" w:rsidP="00E06936">
      <w:pPr>
        <w:tabs>
          <w:tab w:val="left" w:pos="7396"/>
        </w:tabs>
      </w:pPr>
    </w:p>
    <w:p w14:paraId="12599B36" w14:textId="12A42722" w:rsidR="007B23AC" w:rsidRPr="007C0ACA" w:rsidRDefault="007B23AC" w:rsidP="00E06936">
      <w:pPr>
        <w:tabs>
          <w:tab w:val="left" w:pos="7396"/>
        </w:tabs>
      </w:pPr>
    </w:p>
    <w:p w14:paraId="1EB3D11D" w14:textId="4AF27CB8" w:rsidR="0090485F" w:rsidRDefault="0090485F">
      <w:pPr>
        <w:rPr>
          <w:b/>
          <w:sz w:val="28"/>
        </w:rPr>
      </w:pPr>
      <w:r>
        <w:rPr>
          <w:b/>
          <w:sz w:val="28"/>
        </w:rPr>
        <w:br w:type="page"/>
      </w:r>
    </w:p>
    <w:p w14:paraId="53A769FF" w14:textId="3B2C84F6" w:rsidR="007B23AC" w:rsidRDefault="0090485F" w:rsidP="0090485F">
      <w:pPr>
        <w:tabs>
          <w:tab w:val="left" w:pos="7396"/>
        </w:tabs>
        <w:jc w:val="center"/>
      </w:pPr>
      <w:r w:rsidRPr="0090485F">
        <w:rPr>
          <w:noProof/>
          <w:lang w:val="ca-ES" w:eastAsia="ca-ES"/>
        </w:rPr>
        <w:lastRenderedPageBreak/>
        <w:drawing>
          <wp:inline distT="0" distB="0" distL="0" distR="0" wp14:anchorId="36BC8610" wp14:editId="60BD3B2B">
            <wp:extent cx="5172075" cy="3819525"/>
            <wp:effectExtent l="0" t="0" r="9525" b="9525"/>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3819525"/>
                    </a:xfrm>
                    <a:prstGeom prst="rect">
                      <a:avLst/>
                    </a:prstGeom>
                    <a:noFill/>
                    <a:ln>
                      <a:noFill/>
                    </a:ln>
                  </pic:spPr>
                </pic:pic>
              </a:graphicData>
            </a:graphic>
          </wp:inline>
        </w:drawing>
      </w:r>
    </w:p>
    <w:p w14:paraId="35F5B3D3" w14:textId="3FEB5CAE" w:rsidR="0090485F" w:rsidRDefault="0090485F" w:rsidP="0090485F">
      <w:pPr>
        <w:tabs>
          <w:tab w:val="left" w:pos="7396"/>
        </w:tabs>
        <w:jc w:val="center"/>
      </w:pPr>
      <w:r>
        <w:t>Figure 1</w:t>
      </w:r>
    </w:p>
    <w:p w14:paraId="73F96BBA" w14:textId="0833A4E3" w:rsidR="0090485F" w:rsidRDefault="0090485F" w:rsidP="0090485F">
      <w:pPr>
        <w:jc w:val="center"/>
      </w:pPr>
      <w:r>
        <w:br w:type="page"/>
      </w:r>
    </w:p>
    <w:p w14:paraId="40495E60" w14:textId="46ADDFAD" w:rsidR="0090485F" w:rsidRDefault="0090485F" w:rsidP="0090485F">
      <w:pPr>
        <w:tabs>
          <w:tab w:val="left" w:pos="7396"/>
        </w:tabs>
        <w:jc w:val="center"/>
      </w:pPr>
      <w:r w:rsidRPr="0090485F">
        <w:rPr>
          <w:noProof/>
          <w:lang w:val="ca-ES" w:eastAsia="ca-ES"/>
        </w:rPr>
        <w:lastRenderedPageBreak/>
        <w:drawing>
          <wp:inline distT="0" distB="0" distL="0" distR="0" wp14:anchorId="46B01845" wp14:editId="55F145A8">
            <wp:extent cx="4962525" cy="2795905"/>
            <wp:effectExtent l="0" t="0" r="9525" b="4445"/>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795905"/>
                    </a:xfrm>
                    <a:prstGeom prst="rect">
                      <a:avLst/>
                    </a:prstGeom>
                    <a:noFill/>
                    <a:ln>
                      <a:noFill/>
                    </a:ln>
                  </pic:spPr>
                </pic:pic>
              </a:graphicData>
            </a:graphic>
          </wp:inline>
        </w:drawing>
      </w:r>
    </w:p>
    <w:p w14:paraId="176ABB27" w14:textId="57DEC654" w:rsidR="0090485F" w:rsidRDefault="0090485F" w:rsidP="0090485F">
      <w:pPr>
        <w:jc w:val="center"/>
      </w:pPr>
      <w:r>
        <w:t>Figure 2</w:t>
      </w:r>
      <w:r>
        <w:br w:type="page"/>
      </w:r>
    </w:p>
    <w:p w14:paraId="21E8FAEB" w14:textId="4EE6A5FC" w:rsidR="0090485F" w:rsidRDefault="0090485F" w:rsidP="0090485F">
      <w:pPr>
        <w:tabs>
          <w:tab w:val="left" w:pos="7396"/>
        </w:tabs>
        <w:jc w:val="center"/>
      </w:pPr>
      <w:r w:rsidRPr="0090485F">
        <w:rPr>
          <w:noProof/>
          <w:lang w:val="ca-ES" w:eastAsia="ca-ES"/>
        </w:rPr>
        <w:lastRenderedPageBreak/>
        <w:drawing>
          <wp:inline distT="0" distB="0" distL="0" distR="0" wp14:anchorId="3ACD5B7F" wp14:editId="0283676E">
            <wp:extent cx="4900930" cy="2948305"/>
            <wp:effectExtent l="0" t="0" r="0" b="4445"/>
            <wp:docPr id="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0930" cy="2948305"/>
                    </a:xfrm>
                    <a:prstGeom prst="rect">
                      <a:avLst/>
                    </a:prstGeom>
                    <a:noFill/>
                    <a:ln>
                      <a:noFill/>
                    </a:ln>
                  </pic:spPr>
                </pic:pic>
              </a:graphicData>
            </a:graphic>
          </wp:inline>
        </w:drawing>
      </w:r>
    </w:p>
    <w:p w14:paraId="017A82C7" w14:textId="61BA19AF" w:rsidR="0090485F" w:rsidRDefault="0090485F" w:rsidP="0090485F">
      <w:pPr>
        <w:tabs>
          <w:tab w:val="left" w:pos="7396"/>
        </w:tabs>
        <w:jc w:val="center"/>
      </w:pPr>
      <w:r>
        <w:t>Figure 3</w:t>
      </w:r>
    </w:p>
    <w:p w14:paraId="05F0053E" w14:textId="37C9A8D5" w:rsidR="0090485F" w:rsidRDefault="0090485F" w:rsidP="0090485F">
      <w:pPr>
        <w:jc w:val="center"/>
      </w:pPr>
      <w:r>
        <w:br w:type="page"/>
      </w:r>
    </w:p>
    <w:p w14:paraId="04FDA227" w14:textId="77777777" w:rsidR="0090485F" w:rsidRDefault="0090485F" w:rsidP="0090485F">
      <w:pPr>
        <w:tabs>
          <w:tab w:val="left" w:pos="7396"/>
        </w:tabs>
        <w:jc w:val="center"/>
        <w:rPr>
          <w:noProof/>
          <w:lang w:val="ca-ES" w:eastAsia="ca-ES"/>
        </w:rPr>
      </w:pPr>
    </w:p>
    <w:p w14:paraId="004CC9DB" w14:textId="46779EF4" w:rsidR="0090485F" w:rsidRDefault="0090485F" w:rsidP="0090485F">
      <w:pPr>
        <w:rPr>
          <w:noProof/>
          <w:lang w:val="ca-ES" w:eastAsia="ca-ES"/>
        </w:rPr>
      </w:pPr>
    </w:p>
    <w:p w14:paraId="4E5EC1AE" w14:textId="62477649" w:rsidR="0090485F" w:rsidRDefault="0090485F" w:rsidP="0090485F">
      <w:pPr>
        <w:tabs>
          <w:tab w:val="left" w:pos="7396"/>
        </w:tabs>
        <w:jc w:val="center"/>
      </w:pPr>
      <w:r w:rsidRPr="0090485F">
        <w:rPr>
          <w:noProof/>
          <w:lang w:val="ca-ES" w:eastAsia="ca-ES"/>
        </w:rPr>
        <w:drawing>
          <wp:inline distT="0" distB="0" distL="0" distR="0" wp14:anchorId="35F03054" wp14:editId="34A36B24">
            <wp:extent cx="5731510" cy="2515496"/>
            <wp:effectExtent l="0" t="0" r="254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515496"/>
                    </a:xfrm>
                    <a:prstGeom prst="rect">
                      <a:avLst/>
                    </a:prstGeom>
                    <a:noFill/>
                    <a:ln>
                      <a:noFill/>
                    </a:ln>
                  </pic:spPr>
                </pic:pic>
              </a:graphicData>
            </a:graphic>
          </wp:inline>
        </w:drawing>
      </w:r>
    </w:p>
    <w:p w14:paraId="6A91BFBC" w14:textId="5D1334E7" w:rsidR="0090485F" w:rsidRDefault="0090485F" w:rsidP="0090485F">
      <w:pPr>
        <w:jc w:val="center"/>
      </w:pPr>
      <w:r>
        <w:t>Figure 4</w:t>
      </w:r>
      <w:r>
        <w:br w:type="page"/>
      </w:r>
    </w:p>
    <w:p w14:paraId="1DDE8707" w14:textId="622AAF61" w:rsidR="0090485F" w:rsidRDefault="0090485F" w:rsidP="0090485F">
      <w:pPr>
        <w:tabs>
          <w:tab w:val="left" w:pos="7396"/>
        </w:tabs>
        <w:jc w:val="center"/>
      </w:pPr>
      <w:r w:rsidRPr="0090485F">
        <w:rPr>
          <w:noProof/>
          <w:lang w:val="ca-ES" w:eastAsia="ca-ES"/>
        </w:rPr>
        <w:lastRenderedPageBreak/>
        <w:drawing>
          <wp:inline distT="0" distB="0" distL="0" distR="0" wp14:anchorId="7351AD6E" wp14:editId="7A7FAAB9">
            <wp:extent cx="5731510" cy="2467427"/>
            <wp:effectExtent l="0" t="0" r="2540" b="9525"/>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467427"/>
                    </a:xfrm>
                    <a:prstGeom prst="rect">
                      <a:avLst/>
                    </a:prstGeom>
                    <a:noFill/>
                    <a:ln>
                      <a:noFill/>
                    </a:ln>
                  </pic:spPr>
                </pic:pic>
              </a:graphicData>
            </a:graphic>
          </wp:inline>
        </w:drawing>
      </w:r>
    </w:p>
    <w:p w14:paraId="1A970777" w14:textId="02E05A5F" w:rsidR="0090485F" w:rsidRDefault="0090485F" w:rsidP="0090485F">
      <w:pPr>
        <w:tabs>
          <w:tab w:val="left" w:pos="7396"/>
        </w:tabs>
        <w:jc w:val="center"/>
      </w:pPr>
      <w:r>
        <w:t>Figure 5</w:t>
      </w:r>
    </w:p>
    <w:p w14:paraId="5A4357FC" w14:textId="2A7FDD15" w:rsidR="0090485F" w:rsidRDefault="0090485F" w:rsidP="0090485F">
      <w:pPr>
        <w:jc w:val="center"/>
      </w:pPr>
      <w:r>
        <w:br w:type="page"/>
      </w:r>
    </w:p>
    <w:p w14:paraId="06513A16" w14:textId="4DCB30CE" w:rsidR="0090485F" w:rsidRDefault="0090485F" w:rsidP="0090485F">
      <w:pPr>
        <w:tabs>
          <w:tab w:val="left" w:pos="7396"/>
        </w:tabs>
        <w:jc w:val="center"/>
      </w:pPr>
      <w:r w:rsidRPr="0090485F">
        <w:rPr>
          <w:noProof/>
          <w:lang w:val="ca-ES" w:eastAsia="ca-ES"/>
        </w:rPr>
        <w:lastRenderedPageBreak/>
        <w:drawing>
          <wp:inline distT="0" distB="0" distL="0" distR="0" wp14:anchorId="32FC2017" wp14:editId="05FFF8BB">
            <wp:extent cx="4838700" cy="2995930"/>
            <wp:effectExtent l="0" t="0" r="0" b="0"/>
            <wp:docPr id="7" name="Imat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2995930"/>
                    </a:xfrm>
                    <a:prstGeom prst="rect">
                      <a:avLst/>
                    </a:prstGeom>
                    <a:noFill/>
                    <a:ln>
                      <a:noFill/>
                    </a:ln>
                  </pic:spPr>
                </pic:pic>
              </a:graphicData>
            </a:graphic>
          </wp:inline>
        </w:drawing>
      </w:r>
    </w:p>
    <w:p w14:paraId="071C302C" w14:textId="38426E9B" w:rsidR="0090485F" w:rsidRDefault="0090485F" w:rsidP="0090485F">
      <w:pPr>
        <w:tabs>
          <w:tab w:val="left" w:pos="7396"/>
        </w:tabs>
        <w:jc w:val="center"/>
      </w:pPr>
      <w:r>
        <w:t>Figure 6</w:t>
      </w:r>
    </w:p>
    <w:p w14:paraId="3CCD23AA" w14:textId="2FD86076" w:rsidR="0090485F" w:rsidRDefault="0090485F" w:rsidP="0090485F">
      <w:pPr>
        <w:jc w:val="center"/>
      </w:pPr>
      <w:r>
        <w:br w:type="page"/>
      </w:r>
    </w:p>
    <w:p w14:paraId="68A6E17C" w14:textId="6009692F" w:rsidR="0090485F" w:rsidRDefault="0090485F" w:rsidP="0090485F">
      <w:pPr>
        <w:tabs>
          <w:tab w:val="left" w:pos="7396"/>
        </w:tabs>
        <w:jc w:val="center"/>
      </w:pPr>
      <w:r w:rsidRPr="0090485F">
        <w:rPr>
          <w:noProof/>
          <w:lang w:val="ca-ES" w:eastAsia="ca-ES"/>
        </w:rPr>
        <w:lastRenderedPageBreak/>
        <w:drawing>
          <wp:inline distT="0" distB="0" distL="0" distR="0" wp14:anchorId="2C6B7655" wp14:editId="2C621B50">
            <wp:extent cx="4838700" cy="2143125"/>
            <wp:effectExtent l="0" t="0" r="0" b="9525"/>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2143125"/>
                    </a:xfrm>
                    <a:prstGeom prst="rect">
                      <a:avLst/>
                    </a:prstGeom>
                    <a:noFill/>
                    <a:ln>
                      <a:noFill/>
                    </a:ln>
                  </pic:spPr>
                </pic:pic>
              </a:graphicData>
            </a:graphic>
          </wp:inline>
        </w:drawing>
      </w:r>
    </w:p>
    <w:p w14:paraId="64151334" w14:textId="7E19C505" w:rsidR="0090485F" w:rsidRDefault="0090485F" w:rsidP="0090485F">
      <w:pPr>
        <w:tabs>
          <w:tab w:val="left" w:pos="7396"/>
        </w:tabs>
        <w:jc w:val="center"/>
      </w:pPr>
      <w:r>
        <w:t>Figure 7</w:t>
      </w:r>
    </w:p>
    <w:p w14:paraId="0C2A0E50" w14:textId="2E623E1F" w:rsidR="0090485F" w:rsidRDefault="0090485F" w:rsidP="0090485F">
      <w:pPr>
        <w:jc w:val="center"/>
      </w:pPr>
      <w:r>
        <w:br w:type="page"/>
      </w:r>
    </w:p>
    <w:p w14:paraId="09F5E87B" w14:textId="68FC5BF3" w:rsidR="0090485F" w:rsidRDefault="0090485F" w:rsidP="0090485F">
      <w:pPr>
        <w:tabs>
          <w:tab w:val="left" w:pos="7396"/>
        </w:tabs>
        <w:jc w:val="center"/>
      </w:pPr>
      <w:r w:rsidRPr="0090485F">
        <w:rPr>
          <w:noProof/>
          <w:lang w:val="ca-ES" w:eastAsia="ca-ES"/>
        </w:rPr>
        <w:lastRenderedPageBreak/>
        <w:drawing>
          <wp:inline distT="0" distB="0" distL="0" distR="0" wp14:anchorId="727272BC" wp14:editId="205320C0">
            <wp:extent cx="5731510" cy="2775340"/>
            <wp:effectExtent l="0" t="0" r="2540" b="635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775340"/>
                    </a:xfrm>
                    <a:prstGeom prst="rect">
                      <a:avLst/>
                    </a:prstGeom>
                    <a:noFill/>
                    <a:ln>
                      <a:noFill/>
                    </a:ln>
                  </pic:spPr>
                </pic:pic>
              </a:graphicData>
            </a:graphic>
          </wp:inline>
        </w:drawing>
      </w:r>
    </w:p>
    <w:p w14:paraId="34605E82" w14:textId="3CC7D58D" w:rsidR="0090485F" w:rsidRDefault="0090485F" w:rsidP="0090485F">
      <w:pPr>
        <w:tabs>
          <w:tab w:val="left" w:pos="7396"/>
        </w:tabs>
        <w:jc w:val="center"/>
      </w:pPr>
      <w:r>
        <w:t>Figure 8</w:t>
      </w:r>
      <w:bookmarkStart w:id="22" w:name="_GoBack"/>
      <w:bookmarkEnd w:id="22"/>
    </w:p>
    <w:p w14:paraId="075AC186" w14:textId="777CDEC0" w:rsidR="0090485F" w:rsidRPr="009A5B10" w:rsidRDefault="0090485F" w:rsidP="0090485F">
      <w:pPr>
        <w:jc w:val="center"/>
      </w:pPr>
    </w:p>
    <w:sectPr w:rsidR="0090485F" w:rsidRPr="009A5B10" w:rsidSect="00BF70C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988DE" w14:textId="77777777" w:rsidR="009850F4" w:rsidRDefault="009850F4" w:rsidP="00CE1B82">
      <w:pPr>
        <w:spacing w:after="0" w:line="240" w:lineRule="auto"/>
      </w:pPr>
      <w:r>
        <w:separator/>
      </w:r>
    </w:p>
  </w:endnote>
  <w:endnote w:type="continuationSeparator" w:id="0">
    <w:p w14:paraId="3D64FE1E" w14:textId="77777777" w:rsidR="009850F4" w:rsidRDefault="009850F4" w:rsidP="00CE1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altName w:val="Sylfaen"/>
    <w:panose1 w:val="020B0603030804020204"/>
    <w:charset w:val="00"/>
    <w:family w:val="swiss"/>
    <w:pitch w:val="variable"/>
    <w:sig w:usb0="E7002EFF" w:usb1="D200FDFF" w:usb2="0A24602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516220"/>
      <w:docPartObj>
        <w:docPartGallery w:val="Page Numbers (Bottom of Page)"/>
        <w:docPartUnique/>
      </w:docPartObj>
    </w:sdtPr>
    <w:sdtEndPr>
      <w:rPr>
        <w:sz w:val="18"/>
        <w:szCs w:val="18"/>
      </w:rPr>
    </w:sdtEndPr>
    <w:sdtContent>
      <w:p w14:paraId="3435700E" w14:textId="0FD71EDB" w:rsidR="007E5D8F" w:rsidRPr="009A4639" w:rsidRDefault="007E5D8F">
        <w:pPr>
          <w:pStyle w:val="Peu"/>
          <w:jc w:val="center"/>
          <w:rPr>
            <w:sz w:val="18"/>
            <w:szCs w:val="18"/>
          </w:rPr>
        </w:pPr>
        <w:r w:rsidRPr="009A4639">
          <w:rPr>
            <w:sz w:val="18"/>
            <w:szCs w:val="18"/>
          </w:rPr>
          <w:fldChar w:fldCharType="begin"/>
        </w:r>
        <w:r w:rsidRPr="009A4639">
          <w:rPr>
            <w:sz w:val="18"/>
            <w:szCs w:val="18"/>
          </w:rPr>
          <w:instrText>PAGE   \* MERGEFORMAT</w:instrText>
        </w:r>
        <w:r w:rsidRPr="009A4639">
          <w:rPr>
            <w:sz w:val="18"/>
            <w:szCs w:val="18"/>
          </w:rPr>
          <w:fldChar w:fldCharType="separate"/>
        </w:r>
        <w:r w:rsidR="0090485F" w:rsidRPr="0090485F">
          <w:rPr>
            <w:noProof/>
            <w:sz w:val="18"/>
            <w:szCs w:val="18"/>
            <w:lang w:val="ca-ES"/>
          </w:rPr>
          <w:t>30</w:t>
        </w:r>
        <w:r w:rsidRPr="009A4639">
          <w:rPr>
            <w:sz w:val="18"/>
            <w:szCs w:val="18"/>
          </w:rPr>
          <w:fldChar w:fldCharType="end"/>
        </w:r>
      </w:p>
    </w:sdtContent>
  </w:sdt>
  <w:p w14:paraId="6011A590" w14:textId="77777777" w:rsidR="007E5D8F" w:rsidRDefault="007E5D8F">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47B99" w14:textId="77777777" w:rsidR="009850F4" w:rsidRDefault="009850F4" w:rsidP="00CE1B82">
      <w:pPr>
        <w:spacing w:after="0" w:line="240" w:lineRule="auto"/>
      </w:pPr>
      <w:r>
        <w:separator/>
      </w:r>
    </w:p>
  </w:footnote>
  <w:footnote w:type="continuationSeparator" w:id="0">
    <w:p w14:paraId="5611A0B7" w14:textId="77777777" w:rsidR="009850F4" w:rsidRDefault="009850F4" w:rsidP="00CE1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980"/>
    <w:rsid w:val="00000905"/>
    <w:rsid w:val="00003701"/>
    <w:rsid w:val="0001156B"/>
    <w:rsid w:val="000136D0"/>
    <w:rsid w:val="00020688"/>
    <w:rsid w:val="00023FA4"/>
    <w:rsid w:val="00032CB8"/>
    <w:rsid w:val="00034228"/>
    <w:rsid w:val="000513F8"/>
    <w:rsid w:val="0005197B"/>
    <w:rsid w:val="000526B4"/>
    <w:rsid w:val="00053CB4"/>
    <w:rsid w:val="00062EB0"/>
    <w:rsid w:val="0007647D"/>
    <w:rsid w:val="00082AC0"/>
    <w:rsid w:val="00082EA4"/>
    <w:rsid w:val="00086CE0"/>
    <w:rsid w:val="00094B41"/>
    <w:rsid w:val="000A0583"/>
    <w:rsid w:val="000A1930"/>
    <w:rsid w:val="000B2B6A"/>
    <w:rsid w:val="000B2C12"/>
    <w:rsid w:val="000B7FD8"/>
    <w:rsid w:val="000C56B3"/>
    <w:rsid w:val="000D2303"/>
    <w:rsid w:val="000D5AA0"/>
    <w:rsid w:val="000D7D67"/>
    <w:rsid w:val="000E1F18"/>
    <w:rsid w:val="000E42AE"/>
    <w:rsid w:val="000E44BD"/>
    <w:rsid w:val="000E5FAF"/>
    <w:rsid w:val="000F398E"/>
    <w:rsid w:val="0010098B"/>
    <w:rsid w:val="00102E9B"/>
    <w:rsid w:val="00103533"/>
    <w:rsid w:val="00104D62"/>
    <w:rsid w:val="00115D02"/>
    <w:rsid w:val="00121B0D"/>
    <w:rsid w:val="00122AAE"/>
    <w:rsid w:val="0012455A"/>
    <w:rsid w:val="001252E6"/>
    <w:rsid w:val="00127ED0"/>
    <w:rsid w:val="0013028A"/>
    <w:rsid w:val="00131B63"/>
    <w:rsid w:val="001334F7"/>
    <w:rsid w:val="00135A6A"/>
    <w:rsid w:val="00137728"/>
    <w:rsid w:val="001446D5"/>
    <w:rsid w:val="00161FDF"/>
    <w:rsid w:val="00166D47"/>
    <w:rsid w:val="001722A8"/>
    <w:rsid w:val="00176DC7"/>
    <w:rsid w:val="00177603"/>
    <w:rsid w:val="00181736"/>
    <w:rsid w:val="00184BC5"/>
    <w:rsid w:val="00187A2E"/>
    <w:rsid w:val="00192787"/>
    <w:rsid w:val="001A6CAC"/>
    <w:rsid w:val="001B68C9"/>
    <w:rsid w:val="001B71CB"/>
    <w:rsid w:val="001C0797"/>
    <w:rsid w:val="001C1D9A"/>
    <w:rsid w:val="001C2C34"/>
    <w:rsid w:val="001C3865"/>
    <w:rsid w:val="001C3ADD"/>
    <w:rsid w:val="001C6B8C"/>
    <w:rsid w:val="001D3A13"/>
    <w:rsid w:val="001D698D"/>
    <w:rsid w:val="001D6AE6"/>
    <w:rsid w:val="001E31BC"/>
    <w:rsid w:val="001E512A"/>
    <w:rsid w:val="001E7E24"/>
    <w:rsid w:val="001E7F7D"/>
    <w:rsid w:val="00207243"/>
    <w:rsid w:val="00207C1D"/>
    <w:rsid w:val="0021716B"/>
    <w:rsid w:val="00217D2A"/>
    <w:rsid w:val="0022312D"/>
    <w:rsid w:val="00235197"/>
    <w:rsid w:val="00237F84"/>
    <w:rsid w:val="0025765D"/>
    <w:rsid w:val="00283C80"/>
    <w:rsid w:val="0028482E"/>
    <w:rsid w:val="002856DB"/>
    <w:rsid w:val="00285DAF"/>
    <w:rsid w:val="00290983"/>
    <w:rsid w:val="002A3506"/>
    <w:rsid w:val="002A5203"/>
    <w:rsid w:val="002A6ADB"/>
    <w:rsid w:val="002A6DBC"/>
    <w:rsid w:val="002A707D"/>
    <w:rsid w:val="002A7143"/>
    <w:rsid w:val="002A7FC2"/>
    <w:rsid w:val="002B1E1D"/>
    <w:rsid w:val="002B2391"/>
    <w:rsid w:val="002B2FF0"/>
    <w:rsid w:val="002B513B"/>
    <w:rsid w:val="002B642D"/>
    <w:rsid w:val="002B7ED1"/>
    <w:rsid w:val="002C7AEA"/>
    <w:rsid w:val="002D317F"/>
    <w:rsid w:val="002D5CE8"/>
    <w:rsid w:val="002D7CDA"/>
    <w:rsid w:val="002E2056"/>
    <w:rsid w:val="002E2358"/>
    <w:rsid w:val="002E53C1"/>
    <w:rsid w:val="002F005C"/>
    <w:rsid w:val="002F50E4"/>
    <w:rsid w:val="002F612D"/>
    <w:rsid w:val="00301627"/>
    <w:rsid w:val="00302C41"/>
    <w:rsid w:val="00306F85"/>
    <w:rsid w:val="003073E2"/>
    <w:rsid w:val="00307753"/>
    <w:rsid w:val="0031067A"/>
    <w:rsid w:val="00314FC8"/>
    <w:rsid w:val="0031742F"/>
    <w:rsid w:val="00320CDE"/>
    <w:rsid w:val="0032181A"/>
    <w:rsid w:val="003252F4"/>
    <w:rsid w:val="0033098D"/>
    <w:rsid w:val="003323A5"/>
    <w:rsid w:val="003329E5"/>
    <w:rsid w:val="0034282A"/>
    <w:rsid w:val="003506C5"/>
    <w:rsid w:val="00351B4B"/>
    <w:rsid w:val="003555A5"/>
    <w:rsid w:val="00355E66"/>
    <w:rsid w:val="00360123"/>
    <w:rsid w:val="003616D4"/>
    <w:rsid w:val="003628DA"/>
    <w:rsid w:val="00370A1F"/>
    <w:rsid w:val="00376D0F"/>
    <w:rsid w:val="00382EC5"/>
    <w:rsid w:val="00387A0C"/>
    <w:rsid w:val="00391D66"/>
    <w:rsid w:val="003A01C5"/>
    <w:rsid w:val="003A26AD"/>
    <w:rsid w:val="003A5477"/>
    <w:rsid w:val="003B1F12"/>
    <w:rsid w:val="003B3897"/>
    <w:rsid w:val="003B3A06"/>
    <w:rsid w:val="003B5016"/>
    <w:rsid w:val="003C02CC"/>
    <w:rsid w:val="003C6C22"/>
    <w:rsid w:val="003D3F95"/>
    <w:rsid w:val="003D7FBA"/>
    <w:rsid w:val="003E33D9"/>
    <w:rsid w:val="003E4FD9"/>
    <w:rsid w:val="003E683C"/>
    <w:rsid w:val="003E68DE"/>
    <w:rsid w:val="003E7C73"/>
    <w:rsid w:val="00400B99"/>
    <w:rsid w:val="00411BB6"/>
    <w:rsid w:val="004166DE"/>
    <w:rsid w:val="00416EF4"/>
    <w:rsid w:val="00420912"/>
    <w:rsid w:val="004233B5"/>
    <w:rsid w:val="004262FB"/>
    <w:rsid w:val="0042656C"/>
    <w:rsid w:val="00435CDD"/>
    <w:rsid w:val="004406C9"/>
    <w:rsid w:val="00441BA7"/>
    <w:rsid w:val="00443062"/>
    <w:rsid w:val="004574CF"/>
    <w:rsid w:val="00462C17"/>
    <w:rsid w:val="00463701"/>
    <w:rsid w:val="00466535"/>
    <w:rsid w:val="00471D81"/>
    <w:rsid w:val="00487CD8"/>
    <w:rsid w:val="00491310"/>
    <w:rsid w:val="004963EE"/>
    <w:rsid w:val="004979B8"/>
    <w:rsid w:val="004A1F8B"/>
    <w:rsid w:val="004A200C"/>
    <w:rsid w:val="004A70B6"/>
    <w:rsid w:val="004B0596"/>
    <w:rsid w:val="004B557A"/>
    <w:rsid w:val="004B63B2"/>
    <w:rsid w:val="004C0AD5"/>
    <w:rsid w:val="004C3D2B"/>
    <w:rsid w:val="004C4447"/>
    <w:rsid w:val="004D144E"/>
    <w:rsid w:val="004D1B31"/>
    <w:rsid w:val="004E2554"/>
    <w:rsid w:val="004E2774"/>
    <w:rsid w:val="004E2C7D"/>
    <w:rsid w:val="004E4FD3"/>
    <w:rsid w:val="004F3EC3"/>
    <w:rsid w:val="004F4174"/>
    <w:rsid w:val="00505B04"/>
    <w:rsid w:val="0050616E"/>
    <w:rsid w:val="00511F6E"/>
    <w:rsid w:val="00522FE9"/>
    <w:rsid w:val="005272D1"/>
    <w:rsid w:val="00546C72"/>
    <w:rsid w:val="00553451"/>
    <w:rsid w:val="005536AE"/>
    <w:rsid w:val="00556FD3"/>
    <w:rsid w:val="00557A95"/>
    <w:rsid w:val="00557F86"/>
    <w:rsid w:val="005602B0"/>
    <w:rsid w:val="0056092C"/>
    <w:rsid w:val="005619D7"/>
    <w:rsid w:val="005639A1"/>
    <w:rsid w:val="00563E80"/>
    <w:rsid w:val="005704C6"/>
    <w:rsid w:val="00571334"/>
    <w:rsid w:val="0057351C"/>
    <w:rsid w:val="005831C3"/>
    <w:rsid w:val="005863C2"/>
    <w:rsid w:val="005910C6"/>
    <w:rsid w:val="0059355D"/>
    <w:rsid w:val="005955E9"/>
    <w:rsid w:val="005A4694"/>
    <w:rsid w:val="005B2B03"/>
    <w:rsid w:val="005C0B55"/>
    <w:rsid w:val="005C20D1"/>
    <w:rsid w:val="005D268A"/>
    <w:rsid w:val="005E064D"/>
    <w:rsid w:val="005E19F2"/>
    <w:rsid w:val="005E332A"/>
    <w:rsid w:val="005E4B3B"/>
    <w:rsid w:val="005E6960"/>
    <w:rsid w:val="005F4E3D"/>
    <w:rsid w:val="005F6975"/>
    <w:rsid w:val="00603A2E"/>
    <w:rsid w:val="00604AB8"/>
    <w:rsid w:val="00605B0B"/>
    <w:rsid w:val="00610D95"/>
    <w:rsid w:val="00621170"/>
    <w:rsid w:val="00624AB8"/>
    <w:rsid w:val="00630ADD"/>
    <w:rsid w:val="00632E08"/>
    <w:rsid w:val="006339AE"/>
    <w:rsid w:val="00634402"/>
    <w:rsid w:val="00635D99"/>
    <w:rsid w:val="00641D1D"/>
    <w:rsid w:val="00645E55"/>
    <w:rsid w:val="006552EF"/>
    <w:rsid w:val="00657955"/>
    <w:rsid w:val="0066472A"/>
    <w:rsid w:val="00685567"/>
    <w:rsid w:val="0069494C"/>
    <w:rsid w:val="006963BE"/>
    <w:rsid w:val="006B1A77"/>
    <w:rsid w:val="006B6E73"/>
    <w:rsid w:val="006C104B"/>
    <w:rsid w:val="006C2017"/>
    <w:rsid w:val="006C4194"/>
    <w:rsid w:val="006C4E11"/>
    <w:rsid w:val="006C4F73"/>
    <w:rsid w:val="006C7C9D"/>
    <w:rsid w:val="006D0174"/>
    <w:rsid w:val="006D0981"/>
    <w:rsid w:val="006D6757"/>
    <w:rsid w:val="006E069F"/>
    <w:rsid w:val="006E757C"/>
    <w:rsid w:val="006F41FF"/>
    <w:rsid w:val="006F6369"/>
    <w:rsid w:val="006F7E94"/>
    <w:rsid w:val="00700D7C"/>
    <w:rsid w:val="0070424E"/>
    <w:rsid w:val="00711338"/>
    <w:rsid w:val="00721A52"/>
    <w:rsid w:val="00726E38"/>
    <w:rsid w:val="00730195"/>
    <w:rsid w:val="00731039"/>
    <w:rsid w:val="00756088"/>
    <w:rsid w:val="00756768"/>
    <w:rsid w:val="00761432"/>
    <w:rsid w:val="00761C28"/>
    <w:rsid w:val="007636A6"/>
    <w:rsid w:val="00766F83"/>
    <w:rsid w:val="00776908"/>
    <w:rsid w:val="00783DAD"/>
    <w:rsid w:val="0079461E"/>
    <w:rsid w:val="007A0DDD"/>
    <w:rsid w:val="007A3EA2"/>
    <w:rsid w:val="007A530F"/>
    <w:rsid w:val="007B1974"/>
    <w:rsid w:val="007B23AC"/>
    <w:rsid w:val="007B5115"/>
    <w:rsid w:val="007B6F7C"/>
    <w:rsid w:val="007C0ACA"/>
    <w:rsid w:val="007C3928"/>
    <w:rsid w:val="007C5DEF"/>
    <w:rsid w:val="007D55FC"/>
    <w:rsid w:val="007E368F"/>
    <w:rsid w:val="007E3967"/>
    <w:rsid w:val="007E5D8F"/>
    <w:rsid w:val="007E6E9F"/>
    <w:rsid w:val="007F0335"/>
    <w:rsid w:val="007F3CB2"/>
    <w:rsid w:val="00805B05"/>
    <w:rsid w:val="008126EF"/>
    <w:rsid w:val="00815ADF"/>
    <w:rsid w:val="008207FD"/>
    <w:rsid w:val="00820B0B"/>
    <w:rsid w:val="00822512"/>
    <w:rsid w:val="00822BC5"/>
    <w:rsid w:val="0083377B"/>
    <w:rsid w:val="00833992"/>
    <w:rsid w:val="00834367"/>
    <w:rsid w:val="00837275"/>
    <w:rsid w:val="0084055D"/>
    <w:rsid w:val="00841976"/>
    <w:rsid w:val="00845974"/>
    <w:rsid w:val="00846D50"/>
    <w:rsid w:val="008519EB"/>
    <w:rsid w:val="00860D5C"/>
    <w:rsid w:val="0086365D"/>
    <w:rsid w:val="00863795"/>
    <w:rsid w:val="00866E57"/>
    <w:rsid w:val="008719DB"/>
    <w:rsid w:val="00884981"/>
    <w:rsid w:val="00886097"/>
    <w:rsid w:val="00886C8E"/>
    <w:rsid w:val="00894D6C"/>
    <w:rsid w:val="00897732"/>
    <w:rsid w:val="008A2E25"/>
    <w:rsid w:val="008A4B85"/>
    <w:rsid w:val="008B0EBE"/>
    <w:rsid w:val="008C2661"/>
    <w:rsid w:val="008C418A"/>
    <w:rsid w:val="008C5609"/>
    <w:rsid w:val="008C6C87"/>
    <w:rsid w:val="008D7958"/>
    <w:rsid w:val="008E3DFF"/>
    <w:rsid w:val="008E4E36"/>
    <w:rsid w:val="0090298C"/>
    <w:rsid w:val="0090485F"/>
    <w:rsid w:val="009055CA"/>
    <w:rsid w:val="00911EFF"/>
    <w:rsid w:val="00912838"/>
    <w:rsid w:val="00913D2B"/>
    <w:rsid w:val="00913DED"/>
    <w:rsid w:val="0092286B"/>
    <w:rsid w:val="0092497C"/>
    <w:rsid w:val="00937AA3"/>
    <w:rsid w:val="0094364A"/>
    <w:rsid w:val="009479D4"/>
    <w:rsid w:val="0095142B"/>
    <w:rsid w:val="00954564"/>
    <w:rsid w:val="00954A74"/>
    <w:rsid w:val="009567D1"/>
    <w:rsid w:val="00957F1E"/>
    <w:rsid w:val="009661CD"/>
    <w:rsid w:val="00971445"/>
    <w:rsid w:val="00971B49"/>
    <w:rsid w:val="00982A81"/>
    <w:rsid w:val="009850B9"/>
    <w:rsid w:val="009850F4"/>
    <w:rsid w:val="009868C5"/>
    <w:rsid w:val="00986B5C"/>
    <w:rsid w:val="009912ED"/>
    <w:rsid w:val="00992C24"/>
    <w:rsid w:val="0099323D"/>
    <w:rsid w:val="00993347"/>
    <w:rsid w:val="00996A87"/>
    <w:rsid w:val="009A01F9"/>
    <w:rsid w:val="009A2A24"/>
    <w:rsid w:val="009A3C94"/>
    <w:rsid w:val="009A4639"/>
    <w:rsid w:val="009A5B10"/>
    <w:rsid w:val="009B289F"/>
    <w:rsid w:val="009B499C"/>
    <w:rsid w:val="009B5DAF"/>
    <w:rsid w:val="009B60E9"/>
    <w:rsid w:val="009C0C2B"/>
    <w:rsid w:val="009C1CE9"/>
    <w:rsid w:val="009C7BD2"/>
    <w:rsid w:val="009D17C8"/>
    <w:rsid w:val="009D374E"/>
    <w:rsid w:val="009D78BB"/>
    <w:rsid w:val="009F412A"/>
    <w:rsid w:val="009F6245"/>
    <w:rsid w:val="009F6359"/>
    <w:rsid w:val="009F71C2"/>
    <w:rsid w:val="00A05277"/>
    <w:rsid w:val="00A05991"/>
    <w:rsid w:val="00A115A5"/>
    <w:rsid w:val="00A211C5"/>
    <w:rsid w:val="00A24202"/>
    <w:rsid w:val="00A24B97"/>
    <w:rsid w:val="00A251D4"/>
    <w:rsid w:val="00A26407"/>
    <w:rsid w:val="00A26E28"/>
    <w:rsid w:val="00A2703C"/>
    <w:rsid w:val="00A43D1F"/>
    <w:rsid w:val="00A451FD"/>
    <w:rsid w:val="00A454C4"/>
    <w:rsid w:val="00A4701C"/>
    <w:rsid w:val="00A52C64"/>
    <w:rsid w:val="00A5425E"/>
    <w:rsid w:val="00A54D54"/>
    <w:rsid w:val="00A638C8"/>
    <w:rsid w:val="00A64E64"/>
    <w:rsid w:val="00A67586"/>
    <w:rsid w:val="00A70F64"/>
    <w:rsid w:val="00A7176A"/>
    <w:rsid w:val="00A7185C"/>
    <w:rsid w:val="00A74A23"/>
    <w:rsid w:val="00A845B3"/>
    <w:rsid w:val="00A84B4D"/>
    <w:rsid w:val="00A90638"/>
    <w:rsid w:val="00A914DA"/>
    <w:rsid w:val="00AA5686"/>
    <w:rsid w:val="00AA6C44"/>
    <w:rsid w:val="00AB6CC1"/>
    <w:rsid w:val="00AC00DA"/>
    <w:rsid w:val="00AC1842"/>
    <w:rsid w:val="00AC24A1"/>
    <w:rsid w:val="00AC774C"/>
    <w:rsid w:val="00AE0881"/>
    <w:rsid w:val="00AE5F4D"/>
    <w:rsid w:val="00AF6506"/>
    <w:rsid w:val="00B07C7B"/>
    <w:rsid w:val="00B13CF0"/>
    <w:rsid w:val="00B1631A"/>
    <w:rsid w:val="00B21863"/>
    <w:rsid w:val="00B21D1A"/>
    <w:rsid w:val="00B22BF1"/>
    <w:rsid w:val="00B237C0"/>
    <w:rsid w:val="00B24A20"/>
    <w:rsid w:val="00B342BD"/>
    <w:rsid w:val="00B3525E"/>
    <w:rsid w:val="00B4645E"/>
    <w:rsid w:val="00B6063D"/>
    <w:rsid w:val="00B672CB"/>
    <w:rsid w:val="00B7496C"/>
    <w:rsid w:val="00B74EB6"/>
    <w:rsid w:val="00B763AB"/>
    <w:rsid w:val="00B8207B"/>
    <w:rsid w:val="00B87EFB"/>
    <w:rsid w:val="00B9325C"/>
    <w:rsid w:val="00B94141"/>
    <w:rsid w:val="00B95431"/>
    <w:rsid w:val="00B9575F"/>
    <w:rsid w:val="00BA0476"/>
    <w:rsid w:val="00BA1C55"/>
    <w:rsid w:val="00BA29F0"/>
    <w:rsid w:val="00BA428F"/>
    <w:rsid w:val="00BA5E9D"/>
    <w:rsid w:val="00BA6671"/>
    <w:rsid w:val="00BB671F"/>
    <w:rsid w:val="00BC1517"/>
    <w:rsid w:val="00BC5DB2"/>
    <w:rsid w:val="00BC676F"/>
    <w:rsid w:val="00BD104A"/>
    <w:rsid w:val="00BE0FC3"/>
    <w:rsid w:val="00BE7EDC"/>
    <w:rsid w:val="00BF0879"/>
    <w:rsid w:val="00BF193D"/>
    <w:rsid w:val="00BF237F"/>
    <w:rsid w:val="00BF4C4E"/>
    <w:rsid w:val="00BF6898"/>
    <w:rsid w:val="00BF70CD"/>
    <w:rsid w:val="00BF7686"/>
    <w:rsid w:val="00C06ECB"/>
    <w:rsid w:val="00C070BB"/>
    <w:rsid w:val="00C10040"/>
    <w:rsid w:val="00C10C95"/>
    <w:rsid w:val="00C12918"/>
    <w:rsid w:val="00C136FA"/>
    <w:rsid w:val="00C14DEB"/>
    <w:rsid w:val="00C15CCC"/>
    <w:rsid w:val="00C3208C"/>
    <w:rsid w:val="00C3617C"/>
    <w:rsid w:val="00C368EF"/>
    <w:rsid w:val="00C41C1B"/>
    <w:rsid w:val="00C4368C"/>
    <w:rsid w:val="00C447C3"/>
    <w:rsid w:val="00C461F8"/>
    <w:rsid w:val="00C5337F"/>
    <w:rsid w:val="00C54D39"/>
    <w:rsid w:val="00C55071"/>
    <w:rsid w:val="00C62A99"/>
    <w:rsid w:val="00C64337"/>
    <w:rsid w:val="00C646E0"/>
    <w:rsid w:val="00C64726"/>
    <w:rsid w:val="00C66A7E"/>
    <w:rsid w:val="00C7227E"/>
    <w:rsid w:val="00C778C3"/>
    <w:rsid w:val="00C813C0"/>
    <w:rsid w:val="00C83249"/>
    <w:rsid w:val="00C83B8A"/>
    <w:rsid w:val="00C954DA"/>
    <w:rsid w:val="00C9656B"/>
    <w:rsid w:val="00CA1980"/>
    <w:rsid w:val="00CA2EE3"/>
    <w:rsid w:val="00CA4432"/>
    <w:rsid w:val="00CA4981"/>
    <w:rsid w:val="00CB0298"/>
    <w:rsid w:val="00CB082F"/>
    <w:rsid w:val="00CC2DCD"/>
    <w:rsid w:val="00CC64FE"/>
    <w:rsid w:val="00CC7623"/>
    <w:rsid w:val="00CD48FB"/>
    <w:rsid w:val="00CE0C3C"/>
    <w:rsid w:val="00CE1B82"/>
    <w:rsid w:val="00CE6C09"/>
    <w:rsid w:val="00CE6D33"/>
    <w:rsid w:val="00CE6FB7"/>
    <w:rsid w:val="00CE70A3"/>
    <w:rsid w:val="00CF14BA"/>
    <w:rsid w:val="00CF60B5"/>
    <w:rsid w:val="00CF7C62"/>
    <w:rsid w:val="00D01816"/>
    <w:rsid w:val="00D062D2"/>
    <w:rsid w:val="00D06C56"/>
    <w:rsid w:val="00D12497"/>
    <w:rsid w:val="00D1426D"/>
    <w:rsid w:val="00D14E2B"/>
    <w:rsid w:val="00D14E31"/>
    <w:rsid w:val="00D179AC"/>
    <w:rsid w:val="00D2564A"/>
    <w:rsid w:val="00D2577C"/>
    <w:rsid w:val="00D30269"/>
    <w:rsid w:val="00D35686"/>
    <w:rsid w:val="00D3715C"/>
    <w:rsid w:val="00D4528A"/>
    <w:rsid w:val="00D461A5"/>
    <w:rsid w:val="00D475B7"/>
    <w:rsid w:val="00D553D9"/>
    <w:rsid w:val="00D632FD"/>
    <w:rsid w:val="00D70069"/>
    <w:rsid w:val="00D70D74"/>
    <w:rsid w:val="00D74B7E"/>
    <w:rsid w:val="00D75265"/>
    <w:rsid w:val="00D81468"/>
    <w:rsid w:val="00D83A90"/>
    <w:rsid w:val="00D8456D"/>
    <w:rsid w:val="00D846B6"/>
    <w:rsid w:val="00D853AA"/>
    <w:rsid w:val="00D95B86"/>
    <w:rsid w:val="00DA0669"/>
    <w:rsid w:val="00DA36E2"/>
    <w:rsid w:val="00DA57CC"/>
    <w:rsid w:val="00DB0152"/>
    <w:rsid w:val="00DB079B"/>
    <w:rsid w:val="00DC1BD8"/>
    <w:rsid w:val="00DC1E72"/>
    <w:rsid w:val="00DC77A9"/>
    <w:rsid w:val="00DD06FB"/>
    <w:rsid w:val="00DD118B"/>
    <w:rsid w:val="00DD61B3"/>
    <w:rsid w:val="00DE1BE8"/>
    <w:rsid w:val="00DE3DB8"/>
    <w:rsid w:val="00DF2CA6"/>
    <w:rsid w:val="00DF37AB"/>
    <w:rsid w:val="00DF4F17"/>
    <w:rsid w:val="00DF7314"/>
    <w:rsid w:val="00E01A86"/>
    <w:rsid w:val="00E038EF"/>
    <w:rsid w:val="00E040A8"/>
    <w:rsid w:val="00E06936"/>
    <w:rsid w:val="00E121F0"/>
    <w:rsid w:val="00E20148"/>
    <w:rsid w:val="00E2229E"/>
    <w:rsid w:val="00E231CA"/>
    <w:rsid w:val="00E27C52"/>
    <w:rsid w:val="00E318F4"/>
    <w:rsid w:val="00E4004B"/>
    <w:rsid w:val="00E41A7B"/>
    <w:rsid w:val="00E4268B"/>
    <w:rsid w:val="00E445FF"/>
    <w:rsid w:val="00E557DC"/>
    <w:rsid w:val="00E57143"/>
    <w:rsid w:val="00E66608"/>
    <w:rsid w:val="00E70196"/>
    <w:rsid w:val="00E72651"/>
    <w:rsid w:val="00E732E4"/>
    <w:rsid w:val="00E739BD"/>
    <w:rsid w:val="00E8283F"/>
    <w:rsid w:val="00E84870"/>
    <w:rsid w:val="00E864E9"/>
    <w:rsid w:val="00E86FA0"/>
    <w:rsid w:val="00E9432C"/>
    <w:rsid w:val="00E9680C"/>
    <w:rsid w:val="00EA1615"/>
    <w:rsid w:val="00EA1DA1"/>
    <w:rsid w:val="00EA2B75"/>
    <w:rsid w:val="00EA6B35"/>
    <w:rsid w:val="00EB67A4"/>
    <w:rsid w:val="00EC4A2D"/>
    <w:rsid w:val="00EC5380"/>
    <w:rsid w:val="00ED01CD"/>
    <w:rsid w:val="00ED022A"/>
    <w:rsid w:val="00ED1E17"/>
    <w:rsid w:val="00EE030E"/>
    <w:rsid w:val="00EE1A9E"/>
    <w:rsid w:val="00EE706C"/>
    <w:rsid w:val="00EF4F3C"/>
    <w:rsid w:val="00EF6197"/>
    <w:rsid w:val="00EF7DF9"/>
    <w:rsid w:val="00F01DFD"/>
    <w:rsid w:val="00F049FC"/>
    <w:rsid w:val="00F0647F"/>
    <w:rsid w:val="00F109AA"/>
    <w:rsid w:val="00F13EE2"/>
    <w:rsid w:val="00F30022"/>
    <w:rsid w:val="00F306B9"/>
    <w:rsid w:val="00F316F7"/>
    <w:rsid w:val="00F33F59"/>
    <w:rsid w:val="00F40874"/>
    <w:rsid w:val="00F43383"/>
    <w:rsid w:val="00F454D6"/>
    <w:rsid w:val="00F46AA1"/>
    <w:rsid w:val="00F57A12"/>
    <w:rsid w:val="00F6646C"/>
    <w:rsid w:val="00F6672D"/>
    <w:rsid w:val="00F76C86"/>
    <w:rsid w:val="00F8347B"/>
    <w:rsid w:val="00F90620"/>
    <w:rsid w:val="00F9309B"/>
    <w:rsid w:val="00F95086"/>
    <w:rsid w:val="00F972F9"/>
    <w:rsid w:val="00FA70AD"/>
    <w:rsid w:val="00FB424E"/>
    <w:rsid w:val="00FB46F4"/>
    <w:rsid w:val="00FB4E4C"/>
    <w:rsid w:val="00FC2365"/>
    <w:rsid w:val="00FC4207"/>
    <w:rsid w:val="00FC7CAF"/>
    <w:rsid w:val="00FD081E"/>
    <w:rsid w:val="00FD408A"/>
    <w:rsid w:val="00FD4E39"/>
    <w:rsid w:val="00FE244B"/>
    <w:rsid w:val="00FE39D6"/>
    <w:rsid w:val="00FE3AE4"/>
    <w:rsid w:val="00FE62AA"/>
    <w:rsid w:val="00FF6540"/>
    <w:rsid w:val="00FF6C64"/>
    <w:rsid w:val="00FF7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1310"/>
  <w15:chartTrackingRefBased/>
  <w15:docId w15:val="{B13AF31B-88EF-4EEC-A1D6-2AA128964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980"/>
  </w:style>
  <w:style w:type="paragraph" w:styleId="Ttol2">
    <w:name w:val="heading 2"/>
    <w:basedOn w:val="Normal"/>
    <w:next w:val="Normal"/>
    <w:link w:val="Ttol2Car"/>
    <w:uiPriority w:val="9"/>
    <w:unhideWhenUsed/>
    <w:qFormat/>
    <w:rsid w:val="00DE1BE8"/>
    <w:pPr>
      <w:keepNext/>
      <w:keepLines/>
      <w:spacing w:before="40" w:after="0"/>
      <w:outlineLvl w:val="1"/>
    </w:pPr>
    <w:rPr>
      <w:rFonts w:asciiTheme="majorHAnsi" w:eastAsiaTheme="majorEastAsia" w:hAnsiTheme="majorHAnsi" w:cstheme="majorBidi"/>
      <w:i/>
      <w:sz w:val="26"/>
      <w:szCs w:val="26"/>
      <w:lang w:val="es-ES"/>
    </w:rPr>
  </w:style>
  <w:style w:type="paragraph" w:styleId="Ttol3">
    <w:name w:val="heading 3"/>
    <w:basedOn w:val="Normal"/>
    <w:next w:val="Normal"/>
    <w:link w:val="Ttol3Car"/>
    <w:uiPriority w:val="9"/>
    <w:unhideWhenUsed/>
    <w:qFormat/>
    <w:rsid w:val="00DE1BE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ol4">
    <w:name w:val="heading 4"/>
    <w:basedOn w:val="Normal"/>
    <w:next w:val="Normal"/>
    <w:link w:val="Ttol4Car"/>
    <w:uiPriority w:val="9"/>
    <w:unhideWhenUsed/>
    <w:qFormat/>
    <w:rsid w:val="00C646E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customStyle="1" w:styleId="Default">
    <w:name w:val="Default"/>
    <w:rsid w:val="00CA1980"/>
    <w:pPr>
      <w:autoSpaceDE w:val="0"/>
      <w:autoSpaceDN w:val="0"/>
      <w:adjustRightInd w:val="0"/>
      <w:spacing w:after="0" w:line="240" w:lineRule="auto"/>
    </w:pPr>
    <w:rPr>
      <w:rFonts w:ascii="Calibri" w:hAnsi="Calibri" w:cs="Calibri"/>
      <w:color w:val="000000"/>
      <w:sz w:val="24"/>
      <w:szCs w:val="24"/>
    </w:rPr>
  </w:style>
  <w:style w:type="character" w:customStyle="1" w:styleId="Ttol2Car">
    <w:name w:val="Títol 2 Car"/>
    <w:basedOn w:val="Tipusdelletraperdefectedelpargraf"/>
    <w:link w:val="Ttol2"/>
    <w:uiPriority w:val="9"/>
    <w:rsid w:val="00DE1BE8"/>
    <w:rPr>
      <w:rFonts w:asciiTheme="majorHAnsi" w:eastAsiaTheme="majorEastAsia" w:hAnsiTheme="majorHAnsi" w:cstheme="majorBidi"/>
      <w:i/>
      <w:sz w:val="26"/>
      <w:szCs w:val="26"/>
      <w:lang w:val="es-ES"/>
    </w:rPr>
  </w:style>
  <w:style w:type="character" w:customStyle="1" w:styleId="Ttol3Car">
    <w:name w:val="Títol 3 Car"/>
    <w:basedOn w:val="Tipusdelletraperdefectedelpargraf"/>
    <w:link w:val="Ttol3"/>
    <w:uiPriority w:val="9"/>
    <w:rsid w:val="00DE1BE8"/>
    <w:rPr>
      <w:rFonts w:asciiTheme="majorHAnsi" w:eastAsiaTheme="majorEastAsia" w:hAnsiTheme="majorHAnsi" w:cstheme="majorBidi"/>
      <w:color w:val="1F3763" w:themeColor="accent1" w:themeShade="7F"/>
      <w:sz w:val="24"/>
      <w:szCs w:val="24"/>
    </w:rPr>
  </w:style>
  <w:style w:type="character" w:customStyle="1" w:styleId="Ttol4Car">
    <w:name w:val="Títol 4 Car"/>
    <w:basedOn w:val="Tipusdelletraperdefectedelpargraf"/>
    <w:link w:val="Ttol4"/>
    <w:uiPriority w:val="9"/>
    <w:rsid w:val="00C646E0"/>
    <w:rPr>
      <w:rFonts w:asciiTheme="majorHAnsi" w:eastAsiaTheme="majorEastAsia" w:hAnsiTheme="majorHAnsi" w:cstheme="majorBidi"/>
      <w:i/>
      <w:iCs/>
      <w:color w:val="2F5496" w:themeColor="accent1" w:themeShade="BF"/>
    </w:rPr>
  </w:style>
  <w:style w:type="paragraph" w:styleId="Textdeglobus">
    <w:name w:val="Balloon Text"/>
    <w:basedOn w:val="Normal"/>
    <w:link w:val="TextdeglobusCar"/>
    <w:uiPriority w:val="99"/>
    <w:semiHidden/>
    <w:unhideWhenUsed/>
    <w:rsid w:val="002A7FC2"/>
    <w:pPr>
      <w:spacing w:after="0" w:line="240" w:lineRule="auto"/>
    </w:pPr>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2A7FC2"/>
    <w:rPr>
      <w:rFonts w:ascii="Segoe UI" w:hAnsi="Segoe UI" w:cs="Segoe UI"/>
      <w:sz w:val="18"/>
      <w:szCs w:val="18"/>
    </w:rPr>
  </w:style>
  <w:style w:type="character" w:styleId="Refernciadecomentari">
    <w:name w:val="annotation reference"/>
    <w:basedOn w:val="Tipusdelletraperdefectedelpargraf"/>
    <w:uiPriority w:val="99"/>
    <w:semiHidden/>
    <w:unhideWhenUsed/>
    <w:rsid w:val="00E4004B"/>
    <w:rPr>
      <w:sz w:val="16"/>
      <w:szCs w:val="16"/>
    </w:rPr>
  </w:style>
  <w:style w:type="paragraph" w:styleId="Textdecomentari">
    <w:name w:val="annotation text"/>
    <w:basedOn w:val="Normal"/>
    <w:link w:val="TextdecomentariCar"/>
    <w:uiPriority w:val="99"/>
    <w:semiHidden/>
    <w:unhideWhenUsed/>
    <w:rsid w:val="00E4004B"/>
    <w:pPr>
      <w:spacing w:line="240" w:lineRule="auto"/>
    </w:pPr>
    <w:rPr>
      <w:sz w:val="20"/>
      <w:szCs w:val="20"/>
    </w:rPr>
  </w:style>
  <w:style w:type="character" w:customStyle="1" w:styleId="TextdecomentariCar">
    <w:name w:val="Text de comentari Car"/>
    <w:basedOn w:val="Tipusdelletraperdefectedelpargraf"/>
    <w:link w:val="Textdecomentari"/>
    <w:uiPriority w:val="99"/>
    <w:semiHidden/>
    <w:rsid w:val="00E4004B"/>
    <w:rPr>
      <w:sz w:val="20"/>
      <w:szCs w:val="20"/>
    </w:rPr>
  </w:style>
  <w:style w:type="paragraph" w:styleId="Temadelcomentari">
    <w:name w:val="annotation subject"/>
    <w:basedOn w:val="Textdecomentari"/>
    <w:next w:val="Textdecomentari"/>
    <w:link w:val="TemadelcomentariCar"/>
    <w:uiPriority w:val="99"/>
    <w:semiHidden/>
    <w:unhideWhenUsed/>
    <w:rsid w:val="00E4004B"/>
    <w:rPr>
      <w:b/>
      <w:bCs/>
    </w:rPr>
  </w:style>
  <w:style w:type="character" w:customStyle="1" w:styleId="TemadelcomentariCar">
    <w:name w:val="Tema del comentari Car"/>
    <w:basedOn w:val="TextdecomentariCar"/>
    <w:link w:val="Temadelcomentari"/>
    <w:uiPriority w:val="99"/>
    <w:semiHidden/>
    <w:rsid w:val="00E4004B"/>
    <w:rPr>
      <w:b/>
      <w:bCs/>
      <w:sz w:val="20"/>
      <w:szCs w:val="20"/>
    </w:rPr>
  </w:style>
  <w:style w:type="character" w:styleId="Textdelcontenidor">
    <w:name w:val="Placeholder Text"/>
    <w:basedOn w:val="Tipusdelletraperdefectedelpargraf"/>
    <w:uiPriority w:val="99"/>
    <w:semiHidden/>
    <w:rsid w:val="002D5CE8"/>
    <w:rPr>
      <w:color w:val="808080"/>
    </w:rPr>
  </w:style>
  <w:style w:type="paragraph" w:styleId="Revisi">
    <w:name w:val="Revision"/>
    <w:hidden/>
    <w:uiPriority w:val="99"/>
    <w:semiHidden/>
    <w:rsid w:val="00886097"/>
    <w:pPr>
      <w:spacing w:after="0" w:line="240" w:lineRule="auto"/>
    </w:pPr>
  </w:style>
  <w:style w:type="paragraph" w:styleId="Senseespaiat">
    <w:name w:val="No Spacing"/>
    <w:uiPriority w:val="1"/>
    <w:qFormat/>
    <w:rsid w:val="0010098B"/>
    <w:pPr>
      <w:spacing w:after="0" w:line="240" w:lineRule="auto"/>
    </w:pPr>
  </w:style>
  <w:style w:type="paragraph" w:styleId="Capalera">
    <w:name w:val="header"/>
    <w:basedOn w:val="Normal"/>
    <w:link w:val="CapaleraCar"/>
    <w:uiPriority w:val="99"/>
    <w:unhideWhenUsed/>
    <w:rsid w:val="00CE1B82"/>
    <w:pPr>
      <w:tabs>
        <w:tab w:val="center" w:pos="4513"/>
        <w:tab w:val="right" w:pos="9026"/>
      </w:tabs>
      <w:spacing w:after="0" w:line="240" w:lineRule="auto"/>
    </w:pPr>
  </w:style>
  <w:style w:type="character" w:customStyle="1" w:styleId="CapaleraCar">
    <w:name w:val="Capçalera Car"/>
    <w:basedOn w:val="Tipusdelletraperdefectedelpargraf"/>
    <w:link w:val="Capalera"/>
    <w:uiPriority w:val="99"/>
    <w:rsid w:val="00CE1B82"/>
  </w:style>
  <w:style w:type="paragraph" w:styleId="Peu">
    <w:name w:val="footer"/>
    <w:basedOn w:val="Normal"/>
    <w:link w:val="PeuCar"/>
    <w:uiPriority w:val="99"/>
    <w:unhideWhenUsed/>
    <w:rsid w:val="00CE1B82"/>
    <w:pPr>
      <w:tabs>
        <w:tab w:val="center" w:pos="4513"/>
        <w:tab w:val="right" w:pos="9026"/>
      </w:tabs>
      <w:spacing w:after="0" w:line="240" w:lineRule="auto"/>
    </w:pPr>
  </w:style>
  <w:style w:type="character" w:customStyle="1" w:styleId="PeuCar">
    <w:name w:val="Peu Car"/>
    <w:basedOn w:val="Tipusdelletraperdefectedelpargraf"/>
    <w:link w:val="Peu"/>
    <w:uiPriority w:val="99"/>
    <w:rsid w:val="00CE1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333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F1303-AD77-4A1D-A5FA-E53CC4214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32420</Words>
  <Characters>184795</Characters>
  <Application>Microsoft Office Word</Application>
  <DocSecurity>0</DocSecurity>
  <Lines>1539</Lines>
  <Paragraphs>433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Guillem Vila</dc:creator>
  <cp:keywords/>
  <dc:description/>
  <cp:lastModifiedBy>UPC</cp:lastModifiedBy>
  <cp:revision>2</cp:revision>
  <cp:lastPrinted>2019-10-01T16:52:00Z</cp:lastPrinted>
  <dcterms:created xsi:type="dcterms:W3CDTF">2020-05-26T14:33:00Z</dcterms:created>
  <dcterms:modified xsi:type="dcterms:W3CDTF">2020-05-26T14:33:00Z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3727b88c-ae81-382b-86eb-df703a849053</vt:lpwstr>
  </property>
  <property fmtid="{D5CDD505-2E9C-101B-9397-08002B2CF9AE}" pid="24" name="Mendeley Citation Style_1">
    <vt:lpwstr>http://www.zotero.org/styles/vancouver</vt:lpwstr>
  </property>
</Properties>
</file>